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rFonts w:ascii="Calibri" w:hAnsi="Calibri"/>
          <w:b/>
          <w:color w:val="182B49"/>
          <w:sz w:val="36"/>
        </w:rPr>
        <w:t>MAßNAHMENPLAN &amp; CONTROLLING-VORLAGE</w:t>
      </w:r>
    </w:p>
    <w:p>
      <w:pPr>
        <w:spacing w:after="240"/>
      </w:pPr>
      <w:r>
        <w:rPr>
          <w:rFonts w:ascii="Calibri" w:hAnsi="Calibri"/>
          <w:color w:val="64748B"/>
          <w:sz w:val="20"/>
        </w:rPr>
        <w:t>Operatives Steuerungs- und Controlling-Instrument mit Soll-Ist-Abgleich, Meilenstein-Tracking &amp; KPI-Übersicht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BD5E1"/>
          <w:bottom w:val="single" w:sz="4" w:space="0" w:color="CBD5E1"/>
          <w:left w:val="none"/>
          <w:right w:val="none"/>
          <w:insideH w:val="single" w:sz="4" w:space="0" w:color="CBD5E1"/>
          <w:insideV w:val="none"/>
        </w:tblBorders>
      </w:tblPr>
      <w:tblGrid>
        <w:gridCol w:w="3776"/>
        <w:gridCol w:w="3776"/>
        <w:gridCol w:w="3776"/>
        <w:gridCol w:w="3776"/>
      </w:tblGrid>
      <w:tr>
        <w:tc>
          <w:tcPr>
            <w:tcW w:type="dxa" w:w="3600"/>
            <w:shd w:val="clear" w:color="auto" w:fill="F1F5F9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after="0" w:before="0"/>
            </w:pPr>
            <w:r>
              <w:rPr>
                <w:rFonts w:ascii="Calibri" w:hAnsi="Calibri"/>
                <w:b/>
                <w:color w:val="182B49"/>
                <w:sz w:val="18"/>
              </w:rPr>
              <w:t>Projekt / Handlungsfeld:</w:t>
            </w:r>
          </w:p>
        </w:tc>
        <w:tc>
          <w:tcPr>
            <w:tcW w:type="dxa" w:w="5472"/>
            <w:shd w:val="clear" w:color="auto" w:fill="FFFFFF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after="0" w:before="0"/>
            </w:pPr>
            <w:r>
              <w:rPr>
                <w:rFonts w:ascii="Calibri" w:hAnsi="Calibri"/>
                <w:color w:val="1E293B"/>
                <w:sz w:val="18"/>
              </w:rPr>
              <w:t>E-Commerce Skalierung Q3/Q4 – Optimierung Checkout &amp; Logistik</w:t>
            </w:r>
          </w:p>
        </w:tc>
        <w:tc>
          <w:tcPr>
            <w:tcW w:type="dxa" w:w="2880"/>
            <w:shd w:val="clear" w:color="auto" w:fill="F1F5F9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after="0" w:before="0"/>
            </w:pPr>
            <w:r>
              <w:rPr>
                <w:rFonts w:ascii="Calibri" w:hAnsi="Calibri"/>
                <w:b/>
                <w:color w:val="182B49"/>
                <w:sz w:val="18"/>
              </w:rPr>
              <w:t>Stand / Version:</w:t>
            </w:r>
          </w:p>
        </w:tc>
        <w:tc>
          <w:tcPr>
            <w:tcW w:type="dxa" w:w="3168"/>
            <w:shd w:val="clear" w:color="auto" w:fill="FFFFFF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after="0" w:before="0"/>
            </w:pPr>
            <w:r>
              <w:rPr>
                <w:rFonts w:ascii="Calibri" w:hAnsi="Calibri"/>
                <w:color w:val="1E293B"/>
                <w:sz w:val="18"/>
              </w:rPr>
              <w:t>15.10.2026 / Version 2.1 (Freigegeben)</w:t>
            </w:r>
          </w:p>
        </w:tc>
      </w:tr>
      <w:tr>
        <w:tc>
          <w:tcPr>
            <w:tcW w:type="dxa" w:w="3600"/>
            <w:shd w:val="clear" w:color="auto" w:fill="F1F5F9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after="0" w:before="0"/>
            </w:pPr>
            <w:r>
              <w:rPr>
                <w:rFonts w:ascii="Calibri" w:hAnsi="Calibri"/>
                <w:b/>
                <w:color w:val="182B49"/>
                <w:sz w:val="18"/>
              </w:rPr>
              <w:t>Übergeordnetes SMART-Ziel:</w:t>
            </w:r>
          </w:p>
        </w:tc>
        <w:tc>
          <w:tcPr>
            <w:tcW w:type="dxa" w:w="5472"/>
            <w:shd w:val="clear" w:color="auto" w:fill="FFFFFF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after="0" w:before="0"/>
            </w:pPr>
            <w:r>
              <w:rPr>
                <w:rFonts w:ascii="Calibri" w:hAnsi="Calibri"/>
                <w:color w:val="1E293B"/>
                <w:sz w:val="18"/>
              </w:rPr>
              <w:t>Steigerung der Checkout-Conversion-Rate um 20% und Senkung der Retourenquote auf &lt;15% bis Q4/2026</w:t>
            </w:r>
          </w:p>
        </w:tc>
        <w:tc>
          <w:tcPr>
            <w:tcW w:type="dxa" w:w="2880"/>
            <w:shd w:val="clear" w:color="auto" w:fill="F1F5F9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after="0" w:before="0"/>
            </w:pPr>
            <w:r>
              <w:rPr>
                <w:rFonts w:ascii="Calibri" w:hAnsi="Calibri"/>
                <w:b/>
                <w:color w:val="182B49"/>
                <w:sz w:val="18"/>
              </w:rPr>
              <w:t>Projektleitung (Lead):</w:t>
            </w:r>
          </w:p>
        </w:tc>
        <w:tc>
          <w:tcPr>
            <w:tcW w:type="dxa" w:w="3168"/>
            <w:shd w:val="clear" w:color="auto" w:fill="FFFFFF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after="0" w:before="0"/>
            </w:pPr>
            <w:r>
              <w:rPr>
                <w:rFonts w:ascii="Calibri" w:hAnsi="Calibri"/>
                <w:color w:val="1E293B"/>
                <w:sz w:val="18"/>
              </w:rPr>
              <w:t>Dr. Markus Weber (Head of Operations)</w:t>
            </w:r>
          </w:p>
        </w:tc>
      </w:tr>
    </w:tbl>
    <w:p>
      <w:pPr>
        <w:spacing w:before="160" w:after="0"/>
      </w:pP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E2E8F0"/>
          <w:bottom w:val="single" w:sz="4" w:space="0" w:color="E2E8F0"/>
          <w:left w:val="none"/>
          <w:right w:val="none"/>
          <w:insideH w:val="single" w:sz="4" w:space="0" w:color="E2E8F0"/>
          <w:insideV w:val="none"/>
        </w:tblBorders>
      </w:tblPr>
      <w:tblGrid>
        <w:gridCol w:w="2518"/>
        <w:gridCol w:w="2518"/>
        <w:gridCol w:w="2518"/>
        <w:gridCol w:w="2518"/>
        <w:gridCol w:w="2518"/>
        <w:gridCol w:w="2518"/>
      </w:tblGrid>
      <w:tr>
        <w:tc>
          <w:tcPr>
            <w:tcW w:type="dxa" w:w="2520"/>
            <w:shd w:val="clear" w:color="auto" w:fill="F8FAFC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after="20" w:before="0"/>
              <w:jc w:val="center"/>
            </w:pPr>
            <w:r>
              <w:rPr>
                <w:rFonts w:ascii="Calibri" w:hAnsi="Calibri"/>
                <w:b/>
                <w:color w:val="64748B"/>
                <w:sz w:val="15"/>
              </w:rPr>
              <w:t>GESAMT-MAßNAHMEN</w:t>
              <w:br/>
            </w:r>
            <w:r>
              <w:rPr>
                <w:rFonts w:ascii="Calibri" w:hAnsi="Calibri"/>
                <w:b/>
                <w:color w:val="0F172A"/>
                <w:sz w:val="22"/>
              </w:rPr>
              <w:t>8 Maßnahmen</w:t>
              <w:br/>
            </w:r>
            <w:r>
              <w:rPr>
                <w:rFonts w:ascii="Calibri" w:hAnsi="Calibri"/>
                <w:color w:val="94A3B8"/>
                <w:sz w:val="14"/>
              </w:rPr>
              <w:t>=COUNTA(Nr.)</w:t>
            </w:r>
          </w:p>
        </w:tc>
        <w:tc>
          <w:tcPr>
            <w:tcW w:type="dxa" w:w="2520"/>
            <w:shd w:val="clear" w:color="auto" w:fill="EFF6FF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after="20" w:before="0"/>
              <w:jc w:val="center"/>
            </w:pPr>
            <w:r>
              <w:rPr>
                <w:rFonts w:ascii="Calibri" w:hAnsi="Calibri"/>
                <w:b/>
                <w:color w:val="64748B"/>
                <w:sz w:val="15"/>
              </w:rPr>
              <w:t>GESAMT-FORTSCHRITT</w:t>
              <w:br/>
            </w:r>
            <w:r>
              <w:rPr>
                <w:rFonts w:ascii="Calibri" w:hAnsi="Calibri"/>
                <w:b/>
                <w:color w:val="2563EB"/>
                <w:sz w:val="22"/>
              </w:rPr>
              <w:t>64,5 %</w:t>
              <w:br/>
            </w:r>
            <w:r>
              <w:rPr>
                <w:rFonts w:ascii="Calibri" w:hAnsi="Calibri"/>
                <w:color w:val="94A3B8"/>
                <w:sz w:val="14"/>
              </w:rPr>
              <w:t>=Ø(Fertigstellung)</w:t>
            </w:r>
          </w:p>
        </w:tc>
        <w:tc>
          <w:tcPr>
            <w:tcW w:type="dxa" w:w="2520"/>
            <w:shd w:val="clear" w:color="auto" w:fill="F8FAFC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after="20" w:before="0"/>
              <w:jc w:val="center"/>
            </w:pPr>
            <w:r>
              <w:rPr>
                <w:rFonts w:ascii="Calibri" w:hAnsi="Calibri"/>
                <w:b/>
                <w:color w:val="64748B"/>
                <w:sz w:val="15"/>
              </w:rPr>
              <w:t>SOLL-BUDGET (PLAN)</w:t>
              <w:br/>
            </w:r>
            <w:r>
              <w:rPr>
                <w:rFonts w:ascii="Calibri" w:hAnsi="Calibri"/>
                <w:b/>
                <w:color w:val="0F172A"/>
                <w:sz w:val="22"/>
              </w:rPr>
              <w:t>85.000 €</w:t>
              <w:br/>
            </w:r>
            <w:r>
              <w:rPr>
                <w:rFonts w:ascii="Calibri" w:hAnsi="Calibri"/>
                <w:color w:val="94A3B8"/>
                <w:sz w:val="14"/>
              </w:rPr>
              <w:t>=SUMME(Soll)</w:t>
            </w:r>
          </w:p>
        </w:tc>
        <w:tc>
          <w:tcPr>
            <w:tcW w:type="dxa" w:w="2520"/>
            <w:shd w:val="clear" w:color="auto" w:fill="F8FAFC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after="20" w:before="0"/>
              <w:jc w:val="center"/>
            </w:pPr>
            <w:r>
              <w:rPr>
                <w:rFonts w:ascii="Calibri" w:hAnsi="Calibri"/>
                <w:b/>
                <w:color w:val="64748B"/>
                <w:sz w:val="15"/>
              </w:rPr>
              <w:t>IST-KOSTEN (AKTUELL)</w:t>
              <w:br/>
            </w:r>
            <w:r>
              <w:rPr>
                <w:rFonts w:ascii="Calibri" w:hAnsi="Calibri"/>
                <w:b/>
                <w:color w:val="0F172A"/>
                <w:sz w:val="22"/>
              </w:rPr>
              <w:t>78.400 €</w:t>
              <w:br/>
            </w:r>
            <w:r>
              <w:rPr>
                <w:rFonts w:ascii="Calibri" w:hAnsi="Calibri"/>
                <w:color w:val="94A3B8"/>
                <w:sz w:val="14"/>
              </w:rPr>
              <w:t>=SUMME(Ist)</w:t>
            </w:r>
          </w:p>
        </w:tc>
        <w:tc>
          <w:tcPr>
            <w:tcW w:type="dxa" w:w="2520"/>
            <w:shd w:val="clear" w:color="auto" w:fill="F0FDF4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after="20" w:before="0"/>
              <w:jc w:val="center"/>
            </w:pPr>
            <w:r>
              <w:rPr>
                <w:rFonts w:ascii="Calibri" w:hAnsi="Calibri"/>
                <w:b/>
                <w:color w:val="64748B"/>
                <w:sz w:val="15"/>
              </w:rPr>
              <w:t>BUDGET-ABWEICHUNG</w:t>
              <w:br/>
            </w:r>
            <w:r>
              <w:rPr>
                <w:rFonts w:ascii="Calibri" w:hAnsi="Calibri"/>
                <w:b/>
                <w:color w:val="16A34A"/>
                <w:sz w:val="22"/>
              </w:rPr>
              <w:t>-6.600 € (Im Plan)</w:t>
              <w:br/>
            </w:r>
            <w:r>
              <w:rPr>
                <w:rFonts w:ascii="Calibri" w:hAnsi="Calibri"/>
                <w:color w:val="94A3B8"/>
                <w:sz w:val="14"/>
              </w:rPr>
              <w:t>ΔK = Ist - Soll</w:t>
            </w:r>
          </w:p>
        </w:tc>
        <w:tc>
          <w:tcPr>
            <w:tcW w:type="dxa" w:w="2520"/>
            <w:shd w:val="clear" w:color="auto" w:fill="FFFBEB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after="20" w:before="0"/>
              <w:jc w:val="center"/>
            </w:pPr>
            <w:r>
              <w:rPr>
                <w:rFonts w:ascii="Calibri" w:hAnsi="Calibri"/>
                <w:b/>
                <w:color w:val="64748B"/>
                <w:sz w:val="15"/>
              </w:rPr>
              <w:t>OFFENE / IN ARBEIT</w:t>
              <w:br/>
            </w:r>
            <w:r>
              <w:rPr>
                <w:rFonts w:ascii="Calibri" w:hAnsi="Calibri"/>
                <w:b/>
                <w:color w:val="D97706"/>
                <w:sz w:val="22"/>
              </w:rPr>
              <w:t>5 aktiv / 3 erledigt</w:t>
              <w:br/>
            </w:r>
            <w:r>
              <w:rPr>
                <w:rFonts w:ascii="Calibri" w:hAnsi="Calibri"/>
                <w:color w:val="94A3B8"/>
                <w:sz w:val="14"/>
              </w:rPr>
              <w:t>=ZÄHLENWENN(&lt;&gt;Erledigt)</w:t>
            </w:r>
          </w:p>
        </w:tc>
      </w:tr>
    </w:tbl>
    <w:p>
      <w:pPr>
        <w:spacing w:before="160" w:after="40"/>
      </w:pPr>
      <w:r>
        <w:rPr>
          <w:rFonts w:ascii="Calibri" w:hAnsi="Calibri"/>
          <w:b/>
          <w:color w:val="182B49"/>
          <w:sz w:val="22"/>
        </w:rPr>
        <w:t>1. Operative Maßnahmen-Tabelle (Kerninstrument)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BD5E1"/>
          <w:bottom w:val="single" w:sz="4" w:space="0" w:color="CBD5E1"/>
          <w:left w:val="none"/>
          <w:right w:val="none"/>
          <w:insideH w:val="single" w:sz="4" w:space="0" w:color="CBD5E1"/>
          <w:insideV w:val="none"/>
        </w:tblBorders>
      </w:tblPr>
      <w:tblGrid>
        <w:gridCol w:w="1259"/>
        <w:gridCol w:w="1259"/>
        <w:gridCol w:w="1259"/>
        <w:gridCol w:w="1259"/>
        <w:gridCol w:w="1259"/>
        <w:gridCol w:w="1259"/>
        <w:gridCol w:w="1259"/>
        <w:gridCol w:w="1259"/>
        <w:gridCol w:w="1259"/>
        <w:gridCol w:w="1259"/>
        <w:gridCol w:w="1259"/>
        <w:gridCol w:w="1259"/>
      </w:tblGrid>
      <w:tr>
        <w:tc>
          <w:tcPr>
            <w:tcW w:type="dxa" w:w="537"/>
            <w:shd w:val="clear" w:color="auto" w:fill="182B49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Calibri" w:hAnsi="Calibri"/>
                <w:b/>
                <w:color w:val="FFFFFF"/>
                <w:sz w:val="17"/>
              </w:rPr>
              <w:t>Nr.</w:t>
            </w:r>
          </w:p>
        </w:tc>
        <w:tc>
          <w:tcPr>
            <w:tcW w:type="dxa" w:w="2956"/>
            <w:shd w:val="clear" w:color="auto" w:fill="182B49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after="0" w:before="0"/>
              <w:jc w:val="left"/>
            </w:pPr>
            <w:r>
              <w:rPr>
                <w:rFonts w:ascii="Calibri" w:hAnsi="Calibri"/>
                <w:b/>
                <w:color w:val="FFFFFF"/>
                <w:sz w:val="17"/>
              </w:rPr>
              <w:t>Maßnahme / Arbeitspaket</w:t>
            </w:r>
          </w:p>
        </w:tc>
        <w:tc>
          <w:tcPr>
            <w:tcW w:type="dxa" w:w="1612"/>
            <w:shd w:val="clear" w:color="auto" w:fill="182B49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after="0" w:before="0"/>
              <w:jc w:val="left"/>
            </w:pPr>
            <w:r>
              <w:rPr>
                <w:rFonts w:ascii="Calibri" w:hAnsi="Calibri"/>
                <w:b/>
                <w:color w:val="FFFFFF"/>
                <w:sz w:val="17"/>
              </w:rPr>
              <w:t>Verantwortlich (Lead)</w:t>
            </w:r>
          </w:p>
        </w:tc>
        <w:tc>
          <w:tcPr>
            <w:tcW w:type="dxa" w:w="940"/>
            <w:shd w:val="clear" w:color="auto" w:fill="182B49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Calibri" w:hAnsi="Calibri"/>
                <w:b/>
                <w:color w:val="FFFFFF"/>
                <w:sz w:val="17"/>
              </w:rPr>
              <w:t>Start</w:t>
            </w:r>
          </w:p>
        </w:tc>
        <w:tc>
          <w:tcPr>
            <w:tcW w:type="dxa" w:w="940"/>
            <w:shd w:val="clear" w:color="auto" w:fill="182B49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Calibri" w:hAnsi="Calibri"/>
                <w:b/>
                <w:color w:val="FFFFFF"/>
                <w:sz w:val="17"/>
              </w:rPr>
              <w:t>Deadline</w:t>
            </w:r>
          </w:p>
        </w:tc>
        <w:tc>
          <w:tcPr>
            <w:tcW w:type="dxa" w:w="806"/>
            <w:shd w:val="clear" w:color="auto" w:fill="182B49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Calibri" w:hAnsi="Calibri"/>
                <w:b/>
                <w:color w:val="FFFFFF"/>
                <w:sz w:val="17"/>
              </w:rPr>
              <w:t>Prio</w:t>
            </w:r>
          </w:p>
        </w:tc>
        <w:tc>
          <w:tcPr>
            <w:tcW w:type="dxa" w:w="1008"/>
            <w:shd w:val="clear" w:color="auto" w:fill="182B49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after="0" w:before="0"/>
              <w:jc w:val="left"/>
            </w:pPr>
            <w:r>
              <w:rPr>
                <w:rFonts w:ascii="Calibri" w:hAnsi="Calibri"/>
                <w:b/>
                <w:color w:val="FFFFFF"/>
                <w:sz w:val="17"/>
              </w:rPr>
              <w:t>Soll (€)</w:t>
            </w:r>
          </w:p>
        </w:tc>
        <w:tc>
          <w:tcPr>
            <w:tcW w:type="dxa" w:w="1008"/>
            <w:shd w:val="clear" w:color="auto" w:fill="182B49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after="0" w:before="0"/>
              <w:jc w:val="left"/>
            </w:pPr>
            <w:r>
              <w:rPr>
                <w:rFonts w:ascii="Calibri" w:hAnsi="Calibri"/>
                <w:b/>
                <w:color w:val="FFFFFF"/>
                <w:sz w:val="17"/>
              </w:rPr>
              <w:t>Ist (€)</w:t>
            </w:r>
          </w:p>
        </w:tc>
        <w:tc>
          <w:tcPr>
            <w:tcW w:type="dxa" w:w="940"/>
            <w:shd w:val="clear" w:color="auto" w:fill="182B49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Calibri" w:hAnsi="Calibri"/>
                <w:b/>
                <w:color w:val="FFFFFF"/>
                <w:sz w:val="17"/>
              </w:rPr>
              <w:t>ΔK (€)</w:t>
            </w:r>
          </w:p>
        </w:tc>
        <w:tc>
          <w:tcPr>
            <w:tcW w:type="dxa" w:w="873"/>
            <w:shd w:val="clear" w:color="auto" w:fill="182B49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Calibri" w:hAnsi="Calibri"/>
                <w:b/>
                <w:color w:val="FFFFFF"/>
                <w:sz w:val="17"/>
              </w:rPr>
              <w:t>Fortschr.</w:t>
            </w:r>
          </w:p>
        </w:tc>
        <w:tc>
          <w:tcPr>
            <w:tcW w:type="dxa" w:w="1209"/>
            <w:shd w:val="clear" w:color="auto" w:fill="182B49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Calibri" w:hAnsi="Calibri"/>
                <w:b/>
                <w:color w:val="FFFFFF"/>
                <w:sz w:val="17"/>
              </w:rPr>
              <w:t>Status</w:t>
            </w:r>
          </w:p>
        </w:tc>
        <w:tc>
          <w:tcPr>
            <w:tcW w:type="dxa" w:w="2217"/>
            <w:shd w:val="clear" w:color="auto" w:fill="182B49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after="0" w:before="0"/>
              <w:jc w:val="left"/>
            </w:pPr>
            <w:r>
              <w:rPr>
                <w:rFonts w:ascii="Calibri" w:hAnsi="Calibri"/>
                <w:b/>
                <w:color w:val="FFFFFF"/>
                <w:sz w:val="17"/>
              </w:rPr>
              <w:t>Anmerkungen / Risiken</w:t>
            </w:r>
          </w:p>
        </w:tc>
      </w:tr>
      <w:tr>
        <w:tc>
          <w:tcPr>
            <w:tcW w:type="dxa" w:w="537"/>
            <w:shd w:val="clear" w:color="auto" w:fill="FFFFFF"/>
            <w:tcMar>
              <w:top w:w="50" w:type="dxa"/>
              <w:bottom w:w="50" w:type="dxa"/>
              <w:left w:w="50" w:type="dxa"/>
              <w:right w:w="50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Calibri" w:hAnsi="Calibri"/>
                <w:color w:val="1E293B"/>
                <w:sz w:val="16"/>
              </w:rPr>
              <w:t>M-01</w:t>
            </w:r>
          </w:p>
        </w:tc>
        <w:tc>
          <w:tcPr>
            <w:tcW w:type="dxa" w:w="2956"/>
            <w:shd w:val="clear" w:color="auto" w:fill="FFFFFF"/>
            <w:tcMar>
              <w:top w:w="50" w:type="dxa"/>
              <w:bottom w:w="50" w:type="dxa"/>
              <w:left w:w="50" w:type="dxa"/>
              <w:right w:w="50" w:type="dxa"/>
            </w:tcMar>
          </w:tcPr>
          <w:p>
            <w:pPr>
              <w:spacing w:after="0" w:before="0"/>
              <w:jc w:val="left"/>
            </w:pPr>
            <w:r>
              <w:rPr>
                <w:rFonts w:ascii="Calibri" w:hAnsi="Calibri"/>
                <w:color w:val="1E293B"/>
                <w:sz w:val="16"/>
              </w:rPr>
              <w:t>One-Click Checkout &amp; Apple Pay / PayPal Integration</w:t>
            </w:r>
          </w:p>
        </w:tc>
        <w:tc>
          <w:tcPr>
            <w:tcW w:type="dxa" w:w="1612"/>
            <w:shd w:val="clear" w:color="auto" w:fill="FFFFFF"/>
            <w:tcMar>
              <w:top w:w="50" w:type="dxa"/>
              <w:bottom w:w="50" w:type="dxa"/>
              <w:left w:w="50" w:type="dxa"/>
              <w:right w:w="50" w:type="dxa"/>
            </w:tcMar>
          </w:tcPr>
          <w:p>
            <w:pPr>
              <w:spacing w:after="0" w:before="0"/>
              <w:jc w:val="left"/>
            </w:pPr>
            <w:r>
              <w:rPr>
                <w:rFonts w:ascii="Calibri" w:hAnsi="Calibri"/>
                <w:color w:val="1E293B"/>
                <w:sz w:val="16"/>
              </w:rPr>
              <w:t>S. Becker (Tech Lead)</w:t>
            </w:r>
          </w:p>
        </w:tc>
        <w:tc>
          <w:tcPr>
            <w:tcW w:type="dxa" w:w="940"/>
            <w:shd w:val="clear" w:color="auto" w:fill="FFFFFF"/>
            <w:tcMar>
              <w:top w:w="50" w:type="dxa"/>
              <w:bottom w:w="50" w:type="dxa"/>
              <w:left w:w="50" w:type="dxa"/>
              <w:right w:w="50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Calibri" w:hAnsi="Calibri"/>
                <w:color w:val="1E293B"/>
                <w:sz w:val="16"/>
              </w:rPr>
              <w:t>01.08.26</w:t>
            </w:r>
          </w:p>
        </w:tc>
        <w:tc>
          <w:tcPr>
            <w:tcW w:type="dxa" w:w="940"/>
            <w:shd w:val="clear" w:color="auto" w:fill="FFFFFF"/>
            <w:tcMar>
              <w:top w:w="50" w:type="dxa"/>
              <w:bottom w:w="50" w:type="dxa"/>
              <w:left w:w="50" w:type="dxa"/>
              <w:right w:w="50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Calibri" w:hAnsi="Calibri"/>
                <w:color w:val="1E293B"/>
                <w:sz w:val="16"/>
              </w:rPr>
              <w:t>31.08.26</w:t>
            </w:r>
          </w:p>
        </w:tc>
        <w:tc>
          <w:tcPr>
            <w:tcW w:type="dxa" w:w="806"/>
            <w:shd w:val="clear" w:color="auto" w:fill="FFFFFF"/>
            <w:tcMar>
              <w:top w:w="50" w:type="dxa"/>
              <w:bottom w:w="50" w:type="dxa"/>
              <w:left w:w="50" w:type="dxa"/>
              <w:right w:w="50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Calibri" w:hAnsi="Calibri"/>
                <w:b/>
                <w:color w:val="DC2626"/>
                <w:sz w:val="16"/>
              </w:rPr>
              <w:t>Hoch</w:t>
            </w:r>
          </w:p>
        </w:tc>
        <w:tc>
          <w:tcPr>
            <w:tcW w:type="dxa" w:w="1008"/>
            <w:shd w:val="clear" w:color="auto" w:fill="FFFFFF"/>
            <w:tcMar>
              <w:top w:w="50" w:type="dxa"/>
              <w:bottom w:w="50" w:type="dxa"/>
              <w:left w:w="50" w:type="dxa"/>
              <w:right w:w="50" w:type="dxa"/>
            </w:tcMar>
          </w:tcPr>
          <w:p>
            <w:pPr>
              <w:spacing w:after="0" w:before="0"/>
              <w:jc w:val="left"/>
            </w:pPr>
            <w:r>
              <w:rPr>
                <w:rFonts w:ascii="Calibri" w:hAnsi="Calibri"/>
                <w:color w:val="1E293B"/>
                <w:sz w:val="16"/>
              </w:rPr>
              <w:t>18.000 €</w:t>
            </w:r>
          </w:p>
        </w:tc>
        <w:tc>
          <w:tcPr>
            <w:tcW w:type="dxa" w:w="1008"/>
            <w:shd w:val="clear" w:color="auto" w:fill="FFFFFF"/>
            <w:tcMar>
              <w:top w:w="50" w:type="dxa"/>
              <w:bottom w:w="50" w:type="dxa"/>
              <w:left w:w="50" w:type="dxa"/>
              <w:right w:w="50" w:type="dxa"/>
            </w:tcMar>
          </w:tcPr>
          <w:p>
            <w:pPr>
              <w:spacing w:after="0" w:before="0"/>
              <w:jc w:val="left"/>
            </w:pPr>
            <w:r>
              <w:rPr>
                <w:rFonts w:ascii="Calibri" w:hAnsi="Calibri"/>
                <w:color w:val="1E293B"/>
                <w:sz w:val="16"/>
              </w:rPr>
              <w:t>17.200 €</w:t>
            </w:r>
          </w:p>
        </w:tc>
        <w:tc>
          <w:tcPr>
            <w:tcW w:type="dxa" w:w="940"/>
            <w:shd w:val="clear" w:color="auto" w:fill="FFFFFF"/>
            <w:tcMar>
              <w:top w:w="50" w:type="dxa"/>
              <w:bottom w:w="50" w:type="dxa"/>
              <w:left w:w="50" w:type="dxa"/>
              <w:right w:w="50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Calibri" w:hAnsi="Calibri"/>
                <w:color w:val="16A34A"/>
                <w:sz w:val="16"/>
              </w:rPr>
              <w:t>-800 €</w:t>
            </w:r>
          </w:p>
        </w:tc>
        <w:tc>
          <w:tcPr>
            <w:tcW w:type="dxa" w:w="873"/>
            <w:shd w:val="clear" w:color="auto" w:fill="FFFFFF"/>
            <w:tcMar>
              <w:top w:w="50" w:type="dxa"/>
              <w:bottom w:w="50" w:type="dxa"/>
              <w:left w:w="50" w:type="dxa"/>
              <w:right w:w="50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Calibri" w:hAnsi="Calibri"/>
                <w:color w:val="1E293B"/>
                <w:sz w:val="16"/>
              </w:rPr>
              <w:t>100 %</w:t>
            </w:r>
          </w:p>
        </w:tc>
        <w:tc>
          <w:tcPr>
            <w:tcW w:type="dxa" w:w="1209"/>
            <w:shd w:val="clear" w:color="auto" w:fill="FFFFFF"/>
            <w:tcMar>
              <w:top w:w="50" w:type="dxa"/>
              <w:bottom w:w="50" w:type="dxa"/>
              <w:left w:w="50" w:type="dxa"/>
              <w:right w:w="50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Calibri" w:hAnsi="Calibri"/>
                <w:b/>
                <w:color w:val="16A34A"/>
                <w:sz w:val="16"/>
              </w:rPr>
              <w:t>Erledigt</w:t>
            </w:r>
          </w:p>
        </w:tc>
        <w:tc>
          <w:tcPr>
            <w:tcW w:type="dxa" w:w="2217"/>
            <w:shd w:val="clear" w:color="auto" w:fill="FFFFFF"/>
            <w:tcMar>
              <w:top w:w="50" w:type="dxa"/>
              <w:bottom w:w="50" w:type="dxa"/>
              <w:left w:w="50" w:type="dxa"/>
              <w:right w:w="50" w:type="dxa"/>
            </w:tcMar>
          </w:tcPr>
          <w:p>
            <w:pPr>
              <w:spacing w:after="0" w:before="0"/>
              <w:jc w:val="left"/>
            </w:pPr>
            <w:r>
              <w:rPr>
                <w:rFonts w:ascii="Calibri" w:hAnsi="Calibri"/>
                <w:color w:val="1E293B"/>
                <w:sz w:val="16"/>
              </w:rPr>
              <w:t>Erfolgreich live. Conversion-Uplift +12% gemessen.</w:t>
            </w:r>
          </w:p>
        </w:tc>
      </w:tr>
      <w:tr>
        <w:tc>
          <w:tcPr>
            <w:tcW w:type="dxa" w:w="537"/>
            <w:shd w:val="clear" w:color="auto" w:fill="F8FAFC"/>
            <w:tcMar>
              <w:top w:w="50" w:type="dxa"/>
              <w:bottom w:w="50" w:type="dxa"/>
              <w:left w:w="50" w:type="dxa"/>
              <w:right w:w="50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Calibri" w:hAnsi="Calibri"/>
                <w:color w:val="1E293B"/>
                <w:sz w:val="16"/>
              </w:rPr>
              <w:t>M-02</w:t>
            </w:r>
          </w:p>
        </w:tc>
        <w:tc>
          <w:tcPr>
            <w:tcW w:type="dxa" w:w="2956"/>
            <w:shd w:val="clear" w:color="auto" w:fill="F8FAFC"/>
            <w:tcMar>
              <w:top w:w="50" w:type="dxa"/>
              <w:bottom w:w="50" w:type="dxa"/>
              <w:left w:w="50" w:type="dxa"/>
              <w:right w:w="50" w:type="dxa"/>
            </w:tcMar>
          </w:tcPr>
          <w:p>
            <w:pPr>
              <w:spacing w:after="0" w:before="0"/>
              <w:jc w:val="left"/>
            </w:pPr>
            <w:r>
              <w:rPr>
                <w:rFonts w:ascii="Calibri" w:hAnsi="Calibri"/>
                <w:color w:val="1E293B"/>
                <w:sz w:val="16"/>
              </w:rPr>
              <w:t>Retouren-Portal Self-Service &amp; digitales QR-Rücksendeetikett</w:t>
            </w:r>
          </w:p>
        </w:tc>
        <w:tc>
          <w:tcPr>
            <w:tcW w:type="dxa" w:w="1612"/>
            <w:shd w:val="clear" w:color="auto" w:fill="F8FAFC"/>
            <w:tcMar>
              <w:top w:w="50" w:type="dxa"/>
              <w:bottom w:w="50" w:type="dxa"/>
              <w:left w:w="50" w:type="dxa"/>
              <w:right w:w="50" w:type="dxa"/>
            </w:tcMar>
          </w:tcPr>
          <w:p>
            <w:pPr>
              <w:spacing w:after="0" w:before="0"/>
              <w:jc w:val="left"/>
            </w:pPr>
            <w:r>
              <w:rPr>
                <w:rFonts w:ascii="Calibri" w:hAnsi="Calibri"/>
                <w:color w:val="1E293B"/>
                <w:sz w:val="16"/>
              </w:rPr>
              <w:t>T. Klein (Logistik)</w:t>
            </w:r>
          </w:p>
        </w:tc>
        <w:tc>
          <w:tcPr>
            <w:tcW w:type="dxa" w:w="940"/>
            <w:shd w:val="clear" w:color="auto" w:fill="F8FAFC"/>
            <w:tcMar>
              <w:top w:w="50" w:type="dxa"/>
              <w:bottom w:w="50" w:type="dxa"/>
              <w:left w:w="50" w:type="dxa"/>
              <w:right w:w="50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Calibri" w:hAnsi="Calibri"/>
                <w:color w:val="1E293B"/>
                <w:sz w:val="16"/>
              </w:rPr>
              <w:t>15.08.26</w:t>
            </w:r>
          </w:p>
        </w:tc>
        <w:tc>
          <w:tcPr>
            <w:tcW w:type="dxa" w:w="940"/>
            <w:shd w:val="clear" w:color="auto" w:fill="F8FAFC"/>
            <w:tcMar>
              <w:top w:w="50" w:type="dxa"/>
              <w:bottom w:w="50" w:type="dxa"/>
              <w:left w:w="50" w:type="dxa"/>
              <w:right w:w="50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Calibri" w:hAnsi="Calibri"/>
                <w:color w:val="1E293B"/>
                <w:sz w:val="16"/>
              </w:rPr>
              <w:t>30.09.26</w:t>
            </w:r>
          </w:p>
        </w:tc>
        <w:tc>
          <w:tcPr>
            <w:tcW w:type="dxa" w:w="806"/>
            <w:shd w:val="clear" w:color="auto" w:fill="F8FAFC"/>
            <w:tcMar>
              <w:top w:w="50" w:type="dxa"/>
              <w:bottom w:w="50" w:type="dxa"/>
              <w:left w:w="50" w:type="dxa"/>
              <w:right w:w="50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Calibri" w:hAnsi="Calibri"/>
                <w:b/>
                <w:color w:val="DC2626"/>
                <w:sz w:val="16"/>
              </w:rPr>
              <w:t>Hoch</w:t>
            </w:r>
          </w:p>
        </w:tc>
        <w:tc>
          <w:tcPr>
            <w:tcW w:type="dxa" w:w="1008"/>
            <w:shd w:val="clear" w:color="auto" w:fill="F8FAFC"/>
            <w:tcMar>
              <w:top w:w="50" w:type="dxa"/>
              <w:bottom w:w="50" w:type="dxa"/>
              <w:left w:w="50" w:type="dxa"/>
              <w:right w:w="50" w:type="dxa"/>
            </w:tcMar>
          </w:tcPr>
          <w:p>
            <w:pPr>
              <w:spacing w:after="0" w:before="0"/>
              <w:jc w:val="left"/>
            </w:pPr>
            <w:r>
              <w:rPr>
                <w:rFonts w:ascii="Calibri" w:hAnsi="Calibri"/>
                <w:color w:val="1E293B"/>
                <w:sz w:val="16"/>
              </w:rPr>
              <w:t>22.000 €</w:t>
            </w:r>
          </w:p>
        </w:tc>
        <w:tc>
          <w:tcPr>
            <w:tcW w:type="dxa" w:w="1008"/>
            <w:shd w:val="clear" w:color="auto" w:fill="F8FAFC"/>
            <w:tcMar>
              <w:top w:w="50" w:type="dxa"/>
              <w:bottom w:w="50" w:type="dxa"/>
              <w:left w:w="50" w:type="dxa"/>
              <w:right w:w="50" w:type="dxa"/>
            </w:tcMar>
          </w:tcPr>
          <w:p>
            <w:pPr>
              <w:spacing w:after="0" w:before="0"/>
              <w:jc w:val="left"/>
            </w:pPr>
            <w:r>
              <w:rPr>
                <w:rFonts w:ascii="Calibri" w:hAnsi="Calibri"/>
                <w:color w:val="1E293B"/>
                <w:sz w:val="16"/>
              </w:rPr>
              <w:t>21.500 €</w:t>
            </w:r>
          </w:p>
        </w:tc>
        <w:tc>
          <w:tcPr>
            <w:tcW w:type="dxa" w:w="940"/>
            <w:shd w:val="clear" w:color="auto" w:fill="F8FAFC"/>
            <w:tcMar>
              <w:top w:w="50" w:type="dxa"/>
              <w:bottom w:w="50" w:type="dxa"/>
              <w:left w:w="50" w:type="dxa"/>
              <w:right w:w="50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Calibri" w:hAnsi="Calibri"/>
                <w:color w:val="16A34A"/>
                <w:sz w:val="16"/>
              </w:rPr>
              <w:t>-500 €</w:t>
            </w:r>
          </w:p>
        </w:tc>
        <w:tc>
          <w:tcPr>
            <w:tcW w:type="dxa" w:w="873"/>
            <w:shd w:val="clear" w:color="auto" w:fill="F8FAFC"/>
            <w:tcMar>
              <w:top w:w="50" w:type="dxa"/>
              <w:bottom w:w="50" w:type="dxa"/>
              <w:left w:w="50" w:type="dxa"/>
              <w:right w:w="50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Calibri" w:hAnsi="Calibri"/>
                <w:color w:val="1E293B"/>
                <w:sz w:val="16"/>
              </w:rPr>
              <w:t>100 %</w:t>
            </w:r>
          </w:p>
        </w:tc>
        <w:tc>
          <w:tcPr>
            <w:tcW w:type="dxa" w:w="1209"/>
            <w:shd w:val="clear" w:color="auto" w:fill="F8FAFC"/>
            <w:tcMar>
              <w:top w:w="50" w:type="dxa"/>
              <w:bottom w:w="50" w:type="dxa"/>
              <w:left w:w="50" w:type="dxa"/>
              <w:right w:w="50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Calibri" w:hAnsi="Calibri"/>
                <w:b/>
                <w:color w:val="16A34A"/>
                <w:sz w:val="16"/>
              </w:rPr>
              <w:t>Erledigt</w:t>
            </w:r>
          </w:p>
        </w:tc>
        <w:tc>
          <w:tcPr>
            <w:tcW w:type="dxa" w:w="2217"/>
            <w:shd w:val="clear" w:color="auto" w:fill="F8FAFC"/>
            <w:tcMar>
              <w:top w:w="50" w:type="dxa"/>
              <w:bottom w:w="50" w:type="dxa"/>
              <w:left w:w="50" w:type="dxa"/>
              <w:right w:w="50" w:type="dxa"/>
            </w:tcMar>
          </w:tcPr>
          <w:p>
            <w:pPr>
              <w:spacing w:after="0" w:before="0"/>
              <w:jc w:val="left"/>
            </w:pPr>
            <w:r>
              <w:rPr>
                <w:rFonts w:ascii="Calibri" w:hAnsi="Calibri"/>
                <w:color w:val="1E293B"/>
                <w:sz w:val="16"/>
              </w:rPr>
              <w:t>DHL-Schnittstelle angebunden, Rollout abgeschlossen.</w:t>
            </w:r>
          </w:p>
        </w:tc>
      </w:tr>
      <w:tr>
        <w:tc>
          <w:tcPr>
            <w:tcW w:type="dxa" w:w="537"/>
            <w:shd w:val="clear" w:color="auto" w:fill="FFFFFF"/>
            <w:tcMar>
              <w:top w:w="50" w:type="dxa"/>
              <w:bottom w:w="50" w:type="dxa"/>
              <w:left w:w="50" w:type="dxa"/>
              <w:right w:w="50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Calibri" w:hAnsi="Calibri"/>
                <w:color w:val="1E293B"/>
                <w:sz w:val="16"/>
              </w:rPr>
              <w:t>M-03</w:t>
            </w:r>
          </w:p>
        </w:tc>
        <w:tc>
          <w:tcPr>
            <w:tcW w:type="dxa" w:w="2956"/>
            <w:shd w:val="clear" w:color="auto" w:fill="FFFFFF"/>
            <w:tcMar>
              <w:top w:w="50" w:type="dxa"/>
              <w:bottom w:w="50" w:type="dxa"/>
              <w:left w:w="50" w:type="dxa"/>
              <w:right w:w="50" w:type="dxa"/>
            </w:tcMar>
          </w:tcPr>
          <w:p>
            <w:pPr>
              <w:spacing w:after="0" w:before="0"/>
              <w:jc w:val="left"/>
            </w:pPr>
            <w:r>
              <w:rPr>
                <w:rFonts w:ascii="Calibri" w:hAnsi="Calibri"/>
                <w:color w:val="1E293B"/>
                <w:sz w:val="16"/>
              </w:rPr>
              <w:t>Automatisierte Versandbenachrichtigungen &amp; Tracking-SMS</w:t>
            </w:r>
          </w:p>
        </w:tc>
        <w:tc>
          <w:tcPr>
            <w:tcW w:type="dxa" w:w="1612"/>
            <w:shd w:val="clear" w:color="auto" w:fill="FFFFFF"/>
            <w:tcMar>
              <w:top w:w="50" w:type="dxa"/>
              <w:bottom w:w="50" w:type="dxa"/>
              <w:left w:w="50" w:type="dxa"/>
              <w:right w:w="50" w:type="dxa"/>
            </w:tcMar>
          </w:tcPr>
          <w:p>
            <w:pPr>
              <w:spacing w:after="0" w:before="0"/>
              <w:jc w:val="left"/>
            </w:pPr>
            <w:r>
              <w:rPr>
                <w:rFonts w:ascii="Calibri" w:hAnsi="Calibri"/>
                <w:color w:val="1E293B"/>
                <w:sz w:val="16"/>
              </w:rPr>
              <w:t>L. Maier (Customer)</w:t>
            </w:r>
          </w:p>
        </w:tc>
        <w:tc>
          <w:tcPr>
            <w:tcW w:type="dxa" w:w="940"/>
            <w:shd w:val="clear" w:color="auto" w:fill="FFFFFF"/>
            <w:tcMar>
              <w:top w:w="50" w:type="dxa"/>
              <w:bottom w:w="50" w:type="dxa"/>
              <w:left w:w="50" w:type="dxa"/>
              <w:right w:w="50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Calibri" w:hAnsi="Calibri"/>
                <w:color w:val="1E293B"/>
                <w:sz w:val="16"/>
              </w:rPr>
              <w:t>01.09.26</w:t>
            </w:r>
          </w:p>
        </w:tc>
        <w:tc>
          <w:tcPr>
            <w:tcW w:type="dxa" w:w="940"/>
            <w:shd w:val="clear" w:color="auto" w:fill="FFFFFF"/>
            <w:tcMar>
              <w:top w:w="50" w:type="dxa"/>
              <w:bottom w:w="50" w:type="dxa"/>
              <w:left w:w="50" w:type="dxa"/>
              <w:right w:w="50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Calibri" w:hAnsi="Calibri"/>
                <w:color w:val="1E293B"/>
                <w:sz w:val="16"/>
              </w:rPr>
              <w:t>15.10.26</w:t>
            </w:r>
          </w:p>
        </w:tc>
        <w:tc>
          <w:tcPr>
            <w:tcW w:type="dxa" w:w="806"/>
            <w:shd w:val="clear" w:color="auto" w:fill="FFFFFF"/>
            <w:tcMar>
              <w:top w:w="50" w:type="dxa"/>
              <w:bottom w:w="50" w:type="dxa"/>
              <w:left w:w="50" w:type="dxa"/>
              <w:right w:w="50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Calibri" w:hAnsi="Calibri"/>
                <w:color w:val="D97706"/>
                <w:sz w:val="16"/>
              </w:rPr>
              <w:t>Mittel</w:t>
            </w:r>
          </w:p>
        </w:tc>
        <w:tc>
          <w:tcPr>
            <w:tcW w:type="dxa" w:w="1008"/>
            <w:shd w:val="clear" w:color="auto" w:fill="FFFFFF"/>
            <w:tcMar>
              <w:top w:w="50" w:type="dxa"/>
              <w:bottom w:w="50" w:type="dxa"/>
              <w:left w:w="50" w:type="dxa"/>
              <w:right w:w="50" w:type="dxa"/>
            </w:tcMar>
          </w:tcPr>
          <w:p>
            <w:pPr>
              <w:spacing w:after="0" w:before="0"/>
              <w:jc w:val="left"/>
            </w:pPr>
            <w:r>
              <w:rPr>
                <w:rFonts w:ascii="Calibri" w:hAnsi="Calibri"/>
                <w:color w:val="1E293B"/>
                <w:sz w:val="16"/>
              </w:rPr>
              <w:t>9.500 €</w:t>
            </w:r>
          </w:p>
        </w:tc>
        <w:tc>
          <w:tcPr>
            <w:tcW w:type="dxa" w:w="1008"/>
            <w:shd w:val="clear" w:color="auto" w:fill="FFFFFF"/>
            <w:tcMar>
              <w:top w:w="50" w:type="dxa"/>
              <w:bottom w:w="50" w:type="dxa"/>
              <w:left w:w="50" w:type="dxa"/>
              <w:right w:w="50" w:type="dxa"/>
            </w:tcMar>
          </w:tcPr>
          <w:p>
            <w:pPr>
              <w:spacing w:after="0" w:before="0"/>
              <w:jc w:val="left"/>
            </w:pPr>
            <w:r>
              <w:rPr>
                <w:rFonts w:ascii="Calibri" w:hAnsi="Calibri"/>
                <w:color w:val="1E293B"/>
                <w:sz w:val="16"/>
              </w:rPr>
              <w:t>9.000 €</w:t>
            </w:r>
          </w:p>
        </w:tc>
        <w:tc>
          <w:tcPr>
            <w:tcW w:type="dxa" w:w="940"/>
            <w:shd w:val="clear" w:color="auto" w:fill="FFFFFF"/>
            <w:tcMar>
              <w:top w:w="50" w:type="dxa"/>
              <w:bottom w:w="50" w:type="dxa"/>
              <w:left w:w="50" w:type="dxa"/>
              <w:right w:w="50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Calibri" w:hAnsi="Calibri"/>
                <w:color w:val="16A34A"/>
                <w:sz w:val="16"/>
              </w:rPr>
              <w:t>-500 €</w:t>
            </w:r>
          </w:p>
        </w:tc>
        <w:tc>
          <w:tcPr>
            <w:tcW w:type="dxa" w:w="873"/>
            <w:shd w:val="clear" w:color="auto" w:fill="FFFFFF"/>
            <w:tcMar>
              <w:top w:w="50" w:type="dxa"/>
              <w:bottom w:w="50" w:type="dxa"/>
              <w:left w:w="50" w:type="dxa"/>
              <w:right w:w="50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Calibri" w:hAnsi="Calibri"/>
                <w:color w:val="1E293B"/>
                <w:sz w:val="16"/>
              </w:rPr>
              <w:t>100 %</w:t>
            </w:r>
          </w:p>
        </w:tc>
        <w:tc>
          <w:tcPr>
            <w:tcW w:type="dxa" w:w="1209"/>
            <w:shd w:val="clear" w:color="auto" w:fill="FFFFFF"/>
            <w:tcMar>
              <w:top w:w="50" w:type="dxa"/>
              <w:bottom w:w="50" w:type="dxa"/>
              <w:left w:w="50" w:type="dxa"/>
              <w:right w:w="50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Calibri" w:hAnsi="Calibri"/>
                <w:b/>
                <w:color w:val="16A34A"/>
                <w:sz w:val="16"/>
              </w:rPr>
              <w:t>Erledigt</w:t>
            </w:r>
          </w:p>
        </w:tc>
        <w:tc>
          <w:tcPr>
            <w:tcW w:type="dxa" w:w="2217"/>
            <w:shd w:val="clear" w:color="auto" w:fill="FFFFFF"/>
            <w:tcMar>
              <w:top w:w="50" w:type="dxa"/>
              <w:bottom w:w="50" w:type="dxa"/>
              <w:left w:w="50" w:type="dxa"/>
              <w:right w:w="50" w:type="dxa"/>
            </w:tcMar>
          </w:tcPr>
          <w:p>
            <w:pPr>
              <w:spacing w:after="0" w:before="0"/>
              <w:jc w:val="left"/>
            </w:pPr>
            <w:r>
              <w:rPr>
                <w:rFonts w:ascii="Calibri" w:hAnsi="Calibri"/>
                <w:color w:val="1E293B"/>
                <w:sz w:val="16"/>
              </w:rPr>
              <w:t>Reduktion WISMO-Tickets um 34% im September.</w:t>
            </w:r>
          </w:p>
        </w:tc>
      </w:tr>
      <w:tr>
        <w:tc>
          <w:tcPr>
            <w:tcW w:type="dxa" w:w="537"/>
            <w:shd w:val="clear" w:color="auto" w:fill="F8FAFC"/>
            <w:tcMar>
              <w:top w:w="50" w:type="dxa"/>
              <w:bottom w:w="50" w:type="dxa"/>
              <w:left w:w="50" w:type="dxa"/>
              <w:right w:w="50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Calibri" w:hAnsi="Calibri"/>
                <w:color w:val="1E293B"/>
                <w:sz w:val="16"/>
              </w:rPr>
              <w:t>M-04</w:t>
            </w:r>
          </w:p>
        </w:tc>
        <w:tc>
          <w:tcPr>
            <w:tcW w:type="dxa" w:w="2956"/>
            <w:shd w:val="clear" w:color="auto" w:fill="F8FAFC"/>
            <w:tcMar>
              <w:top w:w="50" w:type="dxa"/>
              <w:bottom w:w="50" w:type="dxa"/>
              <w:left w:w="50" w:type="dxa"/>
              <w:right w:w="50" w:type="dxa"/>
            </w:tcMar>
          </w:tcPr>
          <w:p>
            <w:pPr>
              <w:spacing w:after="0" w:before="0"/>
              <w:jc w:val="left"/>
            </w:pPr>
            <w:r>
              <w:rPr>
                <w:rFonts w:ascii="Calibri" w:hAnsi="Calibri"/>
                <w:color w:val="1E293B"/>
                <w:sz w:val="16"/>
              </w:rPr>
              <w:t>Redesign PDP (Produkt-Detailseiten) &amp; Trust-Badges</w:t>
            </w:r>
          </w:p>
        </w:tc>
        <w:tc>
          <w:tcPr>
            <w:tcW w:type="dxa" w:w="1612"/>
            <w:shd w:val="clear" w:color="auto" w:fill="F8FAFC"/>
            <w:tcMar>
              <w:top w:w="50" w:type="dxa"/>
              <w:bottom w:w="50" w:type="dxa"/>
              <w:left w:w="50" w:type="dxa"/>
              <w:right w:w="50" w:type="dxa"/>
            </w:tcMar>
          </w:tcPr>
          <w:p>
            <w:pPr>
              <w:spacing w:after="0" w:before="0"/>
              <w:jc w:val="left"/>
            </w:pPr>
            <w:r>
              <w:rPr>
                <w:rFonts w:ascii="Calibri" w:hAnsi="Calibri"/>
                <w:color w:val="1E293B"/>
                <w:sz w:val="16"/>
              </w:rPr>
              <w:t>M. Weber (UX/UI)</w:t>
            </w:r>
          </w:p>
        </w:tc>
        <w:tc>
          <w:tcPr>
            <w:tcW w:type="dxa" w:w="940"/>
            <w:shd w:val="clear" w:color="auto" w:fill="F8FAFC"/>
            <w:tcMar>
              <w:top w:w="50" w:type="dxa"/>
              <w:bottom w:w="50" w:type="dxa"/>
              <w:left w:w="50" w:type="dxa"/>
              <w:right w:w="50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Calibri" w:hAnsi="Calibri"/>
                <w:color w:val="1E293B"/>
                <w:sz w:val="16"/>
              </w:rPr>
              <w:t>15.09.26</w:t>
            </w:r>
          </w:p>
        </w:tc>
        <w:tc>
          <w:tcPr>
            <w:tcW w:type="dxa" w:w="940"/>
            <w:shd w:val="clear" w:color="auto" w:fill="F8FAFC"/>
            <w:tcMar>
              <w:top w:w="50" w:type="dxa"/>
              <w:bottom w:w="50" w:type="dxa"/>
              <w:left w:w="50" w:type="dxa"/>
              <w:right w:w="50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Calibri" w:hAnsi="Calibri"/>
                <w:color w:val="1E293B"/>
                <w:sz w:val="16"/>
              </w:rPr>
              <w:t>31.10.26</w:t>
            </w:r>
          </w:p>
        </w:tc>
        <w:tc>
          <w:tcPr>
            <w:tcW w:type="dxa" w:w="806"/>
            <w:shd w:val="clear" w:color="auto" w:fill="F8FAFC"/>
            <w:tcMar>
              <w:top w:w="50" w:type="dxa"/>
              <w:bottom w:w="50" w:type="dxa"/>
              <w:left w:w="50" w:type="dxa"/>
              <w:right w:w="50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Calibri" w:hAnsi="Calibri"/>
                <w:b/>
                <w:color w:val="DC2626"/>
                <w:sz w:val="16"/>
              </w:rPr>
              <w:t>Hoch</w:t>
            </w:r>
          </w:p>
        </w:tc>
        <w:tc>
          <w:tcPr>
            <w:tcW w:type="dxa" w:w="1008"/>
            <w:shd w:val="clear" w:color="auto" w:fill="F8FAFC"/>
            <w:tcMar>
              <w:top w:w="50" w:type="dxa"/>
              <w:bottom w:w="50" w:type="dxa"/>
              <w:left w:w="50" w:type="dxa"/>
              <w:right w:w="50" w:type="dxa"/>
            </w:tcMar>
          </w:tcPr>
          <w:p>
            <w:pPr>
              <w:spacing w:after="0" w:before="0"/>
              <w:jc w:val="left"/>
            </w:pPr>
            <w:r>
              <w:rPr>
                <w:rFonts w:ascii="Calibri" w:hAnsi="Calibri"/>
                <w:color w:val="1E293B"/>
                <w:sz w:val="16"/>
              </w:rPr>
              <w:t>14.000 €</w:t>
            </w:r>
          </w:p>
        </w:tc>
        <w:tc>
          <w:tcPr>
            <w:tcW w:type="dxa" w:w="1008"/>
            <w:shd w:val="clear" w:color="auto" w:fill="F8FAFC"/>
            <w:tcMar>
              <w:top w:w="50" w:type="dxa"/>
              <w:bottom w:w="50" w:type="dxa"/>
              <w:left w:w="50" w:type="dxa"/>
              <w:right w:w="50" w:type="dxa"/>
            </w:tcMar>
          </w:tcPr>
          <w:p>
            <w:pPr>
              <w:spacing w:after="0" w:before="0"/>
              <w:jc w:val="left"/>
            </w:pPr>
            <w:r>
              <w:rPr>
                <w:rFonts w:ascii="Calibri" w:hAnsi="Calibri"/>
                <w:color w:val="1E293B"/>
                <w:sz w:val="16"/>
              </w:rPr>
              <w:t>12.800 €</w:t>
            </w:r>
          </w:p>
        </w:tc>
        <w:tc>
          <w:tcPr>
            <w:tcW w:type="dxa" w:w="940"/>
            <w:shd w:val="clear" w:color="auto" w:fill="F8FAFC"/>
            <w:tcMar>
              <w:top w:w="50" w:type="dxa"/>
              <w:bottom w:w="50" w:type="dxa"/>
              <w:left w:w="50" w:type="dxa"/>
              <w:right w:w="50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Calibri" w:hAnsi="Calibri"/>
                <w:color w:val="16A34A"/>
                <w:sz w:val="16"/>
              </w:rPr>
              <w:t>-1.200 €</w:t>
            </w:r>
          </w:p>
        </w:tc>
        <w:tc>
          <w:tcPr>
            <w:tcW w:type="dxa" w:w="873"/>
            <w:shd w:val="clear" w:color="auto" w:fill="F8FAFC"/>
            <w:tcMar>
              <w:top w:w="50" w:type="dxa"/>
              <w:bottom w:w="50" w:type="dxa"/>
              <w:left w:w="50" w:type="dxa"/>
              <w:right w:w="50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Calibri" w:hAnsi="Calibri"/>
                <w:color w:val="1E293B"/>
                <w:sz w:val="16"/>
              </w:rPr>
              <w:t>80 %</w:t>
            </w:r>
          </w:p>
        </w:tc>
        <w:tc>
          <w:tcPr>
            <w:tcW w:type="dxa" w:w="1209"/>
            <w:shd w:val="clear" w:color="auto" w:fill="F8FAFC"/>
            <w:tcMar>
              <w:top w:w="50" w:type="dxa"/>
              <w:bottom w:w="50" w:type="dxa"/>
              <w:left w:w="50" w:type="dxa"/>
              <w:right w:w="50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Calibri" w:hAnsi="Calibri"/>
                <w:b/>
                <w:color w:val="2563EB"/>
                <w:sz w:val="16"/>
              </w:rPr>
              <w:t>In Bearb.</w:t>
            </w:r>
          </w:p>
        </w:tc>
        <w:tc>
          <w:tcPr>
            <w:tcW w:type="dxa" w:w="2217"/>
            <w:shd w:val="clear" w:color="auto" w:fill="F8FAFC"/>
            <w:tcMar>
              <w:top w:w="50" w:type="dxa"/>
              <w:bottom w:w="50" w:type="dxa"/>
              <w:left w:w="50" w:type="dxa"/>
              <w:right w:w="50" w:type="dxa"/>
            </w:tcMar>
          </w:tcPr>
          <w:p>
            <w:pPr>
              <w:spacing w:after="0" w:before="0"/>
              <w:jc w:val="left"/>
            </w:pPr>
            <w:r>
              <w:rPr>
                <w:rFonts w:ascii="Calibri" w:hAnsi="Calibri"/>
                <w:color w:val="1E293B"/>
                <w:sz w:val="16"/>
              </w:rPr>
              <w:t>A/B-Testing Phase 2 läuft bis KW 44.</w:t>
            </w:r>
          </w:p>
        </w:tc>
      </w:tr>
      <w:tr>
        <w:tc>
          <w:tcPr>
            <w:tcW w:type="dxa" w:w="537"/>
            <w:shd w:val="clear" w:color="auto" w:fill="FFFFFF"/>
            <w:tcMar>
              <w:top w:w="50" w:type="dxa"/>
              <w:bottom w:w="50" w:type="dxa"/>
              <w:left w:w="50" w:type="dxa"/>
              <w:right w:w="50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Calibri" w:hAnsi="Calibri"/>
                <w:color w:val="1E293B"/>
                <w:sz w:val="16"/>
              </w:rPr>
              <w:t>M-05</w:t>
            </w:r>
          </w:p>
        </w:tc>
        <w:tc>
          <w:tcPr>
            <w:tcW w:type="dxa" w:w="2956"/>
            <w:shd w:val="clear" w:color="auto" w:fill="FFFFFF"/>
            <w:tcMar>
              <w:top w:w="50" w:type="dxa"/>
              <w:bottom w:w="50" w:type="dxa"/>
              <w:left w:w="50" w:type="dxa"/>
              <w:right w:w="50" w:type="dxa"/>
            </w:tcMar>
          </w:tcPr>
          <w:p>
            <w:pPr>
              <w:spacing w:after="0" w:before="0"/>
              <w:jc w:val="left"/>
            </w:pPr>
            <w:r>
              <w:rPr>
                <w:rFonts w:ascii="Calibri" w:hAnsi="Calibri"/>
                <w:color w:val="1E293B"/>
                <w:sz w:val="16"/>
              </w:rPr>
              <w:t>Automatisierte Nachbestelllogik für Top-20-Bestseller</w:t>
            </w:r>
          </w:p>
        </w:tc>
        <w:tc>
          <w:tcPr>
            <w:tcW w:type="dxa" w:w="1612"/>
            <w:shd w:val="clear" w:color="auto" w:fill="FFFFFF"/>
            <w:tcMar>
              <w:top w:w="50" w:type="dxa"/>
              <w:bottom w:w="50" w:type="dxa"/>
              <w:left w:w="50" w:type="dxa"/>
              <w:right w:w="50" w:type="dxa"/>
            </w:tcMar>
          </w:tcPr>
          <w:p>
            <w:pPr>
              <w:spacing w:after="0" w:before="0"/>
              <w:jc w:val="left"/>
            </w:pPr>
            <w:r>
              <w:rPr>
                <w:rFonts w:ascii="Calibri" w:hAnsi="Calibri"/>
                <w:color w:val="1E293B"/>
                <w:sz w:val="16"/>
              </w:rPr>
              <w:t>T. Klein (Logistik)</w:t>
            </w:r>
          </w:p>
        </w:tc>
        <w:tc>
          <w:tcPr>
            <w:tcW w:type="dxa" w:w="940"/>
            <w:shd w:val="clear" w:color="auto" w:fill="FFFFFF"/>
            <w:tcMar>
              <w:top w:w="50" w:type="dxa"/>
              <w:bottom w:w="50" w:type="dxa"/>
              <w:left w:w="50" w:type="dxa"/>
              <w:right w:w="50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Calibri" w:hAnsi="Calibri"/>
                <w:color w:val="1E293B"/>
                <w:sz w:val="16"/>
              </w:rPr>
              <w:t>01.10.26</w:t>
            </w:r>
          </w:p>
        </w:tc>
        <w:tc>
          <w:tcPr>
            <w:tcW w:type="dxa" w:w="940"/>
            <w:shd w:val="clear" w:color="auto" w:fill="FFFFFF"/>
            <w:tcMar>
              <w:top w:w="50" w:type="dxa"/>
              <w:bottom w:w="50" w:type="dxa"/>
              <w:left w:w="50" w:type="dxa"/>
              <w:right w:w="50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Calibri" w:hAnsi="Calibri"/>
                <w:color w:val="1E293B"/>
                <w:sz w:val="16"/>
              </w:rPr>
              <w:t>15.11.26</w:t>
            </w:r>
          </w:p>
        </w:tc>
        <w:tc>
          <w:tcPr>
            <w:tcW w:type="dxa" w:w="806"/>
            <w:shd w:val="clear" w:color="auto" w:fill="FFFFFF"/>
            <w:tcMar>
              <w:top w:w="50" w:type="dxa"/>
              <w:bottom w:w="50" w:type="dxa"/>
              <w:left w:w="50" w:type="dxa"/>
              <w:right w:w="50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Calibri" w:hAnsi="Calibri"/>
                <w:b/>
                <w:color w:val="DC2626"/>
                <w:sz w:val="16"/>
              </w:rPr>
              <w:t>Hoch</w:t>
            </w:r>
          </w:p>
        </w:tc>
        <w:tc>
          <w:tcPr>
            <w:tcW w:type="dxa" w:w="1008"/>
            <w:shd w:val="clear" w:color="auto" w:fill="FFFFFF"/>
            <w:tcMar>
              <w:top w:w="50" w:type="dxa"/>
              <w:bottom w:w="50" w:type="dxa"/>
              <w:left w:w="50" w:type="dxa"/>
              <w:right w:w="50" w:type="dxa"/>
            </w:tcMar>
          </w:tcPr>
          <w:p>
            <w:pPr>
              <w:spacing w:after="0" w:before="0"/>
              <w:jc w:val="left"/>
            </w:pPr>
            <w:r>
              <w:rPr>
                <w:rFonts w:ascii="Calibri" w:hAnsi="Calibri"/>
                <w:color w:val="1E293B"/>
                <w:sz w:val="16"/>
              </w:rPr>
              <w:t>12.500 €</w:t>
            </w:r>
          </w:p>
        </w:tc>
        <w:tc>
          <w:tcPr>
            <w:tcW w:type="dxa" w:w="1008"/>
            <w:shd w:val="clear" w:color="auto" w:fill="FFFFFF"/>
            <w:tcMar>
              <w:top w:w="50" w:type="dxa"/>
              <w:bottom w:w="50" w:type="dxa"/>
              <w:left w:w="50" w:type="dxa"/>
              <w:right w:w="50" w:type="dxa"/>
            </w:tcMar>
          </w:tcPr>
          <w:p>
            <w:pPr>
              <w:spacing w:after="0" w:before="0"/>
              <w:jc w:val="left"/>
            </w:pPr>
            <w:r>
              <w:rPr>
                <w:rFonts w:ascii="Calibri" w:hAnsi="Calibri"/>
                <w:color w:val="1E293B"/>
                <w:sz w:val="16"/>
              </w:rPr>
              <w:t>9.400 €</w:t>
            </w:r>
          </w:p>
        </w:tc>
        <w:tc>
          <w:tcPr>
            <w:tcW w:type="dxa" w:w="940"/>
            <w:shd w:val="clear" w:color="auto" w:fill="FFFFFF"/>
            <w:tcMar>
              <w:top w:w="50" w:type="dxa"/>
              <w:bottom w:w="50" w:type="dxa"/>
              <w:left w:w="50" w:type="dxa"/>
              <w:right w:w="50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Calibri" w:hAnsi="Calibri"/>
                <w:color w:val="16A34A"/>
                <w:sz w:val="16"/>
              </w:rPr>
              <w:t>-3.100 €</w:t>
            </w:r>
          </w:p>
        </w:tc>
        <w:tc>
          <w:tcPr>
            <w:tcW w:type="dxa" w:w="873"/>
            <w:shd w:val="clear" w:color="auto" w:fill="FFFFFF"/>
            <w:tcMar>
              <w:top w:w="50" w:type="dxa"/>
              <w:bottom w:w="50" w:type="dxa"/>
              <w:left w:w="50" w:type="dxa"/>
              <w:right w:w="50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Calibri" w:hAnsi="Calibri"/>
                <w:color w:val="1E293B"/>
                <w:sz w:val="16"/>
              </w:rPr>
              <w:t>60 %</w:t>
            </w:r>
          </w:p>
        </w:tc>
        <w:tc>
          <w:tcPr>
            <w:tcW w:type="dxa" w:w="1209"/>
            <w:shd w:val="clear" w:color="auto" w:fill="FFFFFF"/>
            <w:tcMar>
              <w:top w:w="50" w:type="dxa"/>
              <w:bottom w:w="50" w:type="dxa"/>
              <w:left w:w="50" w:type="dxa"/>
              <w:right w:w="50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Calibri" w:hAnsi="Calibri"/>
                <w:b/>
                <w:color w:val="2563EB"/>
                <w:sz w:val="16"/>
              </w:rPr>
              <w:t>In Bearb.</w:t>
            </w:r>
          </w:p>
        </w:tc>
        <w:tc>
          <w:tcPr>
            <w:tcW w:type="dxa" w:w="2217"/>
            <w:shd w:val="clear" w:color="auto" w:fill="FFFFFF"/>
            <w:tcMar>
              <w:top w:w="50" w:type="dxa"/>
              <w:bottom w:w="50" w:type="dxa"/>
              <w:left w:w="50" w:type="dxa"/>
              <w:right w:w="50" w:type="dxa"/>
            </w:tcMar>
          </w:tcPr>
          <w:p>
            <w:pPr>
              <w:spacing w:after="0" w:before="0"/>
              <w:jc w:val="left"/>
            </w:pPr>
            <w:r>
              <w:rPr>
                <w:rFonts w:ascii="Calibri" w:hAnsi="Calibri"/>
                <w:color w:val="1E293B"/>
                <w:sz w:val="16"/>
              </w:rPr>
              <w:t>ERP-Anbindung in Prüfung; Verzögerung um 3 Tage.</w:t>
            </w:r>
          </w:p>
        </w:tc>
      </w:tr>
      <w:tr>
        <w:tc>
          <w:tcPr>
            <w:tcW w:type="dxa" w:w="537"/>
            <w:shd w:val="clear" w:color="auto" w:fill="F8FAFC"/>
            <w:tcMar>
              <w:top w:w="50" w:type="dxa"/>
              <w:bottom w:w="50" w:type="dxa"/>
              <w:left w:w="50" w:type="dxa"/>
              <w:right w:w="50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Calibri" w:hAnsi="Calibri"/>
                <w:color w:val="1E293B"/>
                <w:sz w:val="16"/>
              </w:rPr>
              <w:t>M-06</w:t>
            </w:r>
          </w:p>
        </w:tc>
        <w:tc>
          <w:tcPr>
            <w:tcW w:type="dxa" w:w="2956"/>
            <w:shd w:val="clear" w:color="auto" w:fill="F8FAFC"/>
            <w:tcMar>
              <w:top w:w="50" w:type="dxa"/>
              <w:bottom w:w="50" w:type="dxa"/>
              <w:left w:w="50" w:type="dxa"/>
              <w:right w:w="50" w:type="dxa"/>
            </w:tcMar>
          </w:tcPr>
          <w:p>
            <w:pPr>
              <w:spacing w:after="0" w:before="0"/>
              <w:jc w:val="left"/>
            </w:pPr>
            <w:r>
              <w:rPr>
                <w:rFonts w:ascii="Calibri" w:hAnsi="Calibri"/>
                <w:color w:val="1E293B"/>
                <w:sz w:val="16"/>
              </w:rPr>
              <w:t>Kundensegmentierung &amp; Reaktivierungs-E-Mail-Strecke</w:t>
            </w:r>
          </w:p>
        </w:tc>
        <w:tc>
          <w:tcPr>
            <w:tcW w:type="dxa" w:w="1612"/>
            <w:shd w:val="clear" w:color="auto" w:fill="F8FAFC"/>
            <w:tcMar>
              <w:top w:w="50" w:type="dxa"/>
              <w:bottom w:w="50" w:type="dxa"/>
              <w:left w:w="50" w:type="dxa"/>
              <w:right w:w="50" w:type="dxa"/>
            </w:tcMar>
          </w:tcPr>
          <w:p>
            <w:pPr>
              <w:spacing w:after="0" w:before="0"/>
              <w:jc w:val="left"/>
            </w:pPr>
            <w:r>
              <w:rPr>
                <w:rFonts w:ascii="Calibri" w:hAnsi="Calibri"/>
                <w:color w:val="1E293B"/>
                <w:sz w:val="16"/>
              </w:rPr>
              <w:t>L. Maier (CRM)</w:t>
            </w:r>
          </w:p>
        </w:tc>
        <w:tc>
          <w:tcPr>
            <w:tcW w:type="dxa" w:w="940"/>
            <w:shd w:val="clear" w:color="auto" w:fill="F8FAFC"/>
            <w:tcMar>
              <w:top w:w="50" w:type="dxa"/>
              <w:bottom w:w="50" w:type="dxa"/>
              <w:left w:w="50" w:type="dxa"/>
              <w:right w:w="50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Calibri" w:hAnsi="Calibri"/>
                <w:color w:val="1E293B"/>
                <w:sz w:val="16"/>
              </w:rPr>
              <w:t>15.10.26</w:t>
            </w:r>
          </w:p>
        </w:tc>
        <w:tc>
          <w:tcPr>
            <w:tcW w:type="dxa" w:w="940"/>
            <w:shd w:val="clear" w:color="auto" w:fill="F8FAFC"/>
            <w:tcMar>
              <w:top w:w="50" w:type="dxa"/>
              <w:bottom w:w="50" w:type="dxa"/>
              <w:left w:w="50" w:type="dxa"/>
              <w:right w:w="50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Calibri" w:hAnsi="Calibri"/>
                <w:color w:val="1E293B"/>
                <w:sz w:val="16"/>
              </w:rPr>
              <w:t>30.11.26</w:t>
            </w:r>
          </w:p>
        </w:tc>
        <w:tc>
          <w:tcPr>
            <w:tcW w:type="dxa" w:w="806"/>
            <w:shd w:val="clear" w:color="auto" w:fill="F8FAFC"/>
            <w:tcMar>
              <w:top w:w="50" w:type="dxa"/>
              <w:bottom w:w="50" w:type="dxa"/>
              <w:left w:w="50" w:type="dxa"/>
              <w:right w:w="50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Calibri" w:hAnsi="Calibri"/>
                <w:color w:val="D97706"/>
                <w:sz w:val="16"/>
              </w:rPr>
              <w:t>Mittel</w:t>
            </w:r>
          </w:p>
        </w:tc>
        <w:tc>
          <w:tcPr>
            <w:tcW w:type="dxa" w:w="1008"/>
            <w:shd w:val="clear" w:color="auto" w:fill="F8FAFC"/>
            <w:tcMar>
              <w:top w:w="50" w:type="dxa"/>
              <w:bottom w:w="50" w:type="dxa"/>
              <w:left w:w="50" w:type="dxa"/>
              <w:right w:w="50" w:type="dxa"/>
            </w:tcMar>
          </w:tcPr>
          <w:p>
            <w:pPr>
              <w:spacing w:after="0" w:before="0"/>
              <w:jc w:val="left"/>
            </w:pPr>
            <w:r>
              <w:rPr>
                <w:rFonts w:ascii="Calibri" w:hAnsi="Calibri"/>
                <w:color w:val="1E293B"/>
                <w:sz w:val="16"/>
              </w:rPr>
              <w:t>4.000 €</w:t>
            </w:r>
          </w:p>
        </w:tc>
        <w:tc>
          <w:tcPr>
            <w:tcW w:type="dxa" w:w="1008"/>
            <w:shd w:val="clear" w:color="auto" w:fill="F8FAFC"/>
            <w:tcMar>
              <w:top w:w="50" w:type="dxa"/>
              <w:bottom w:w="50" w:type="dxa"/>
              <w:left w:w="50" w:type="dxa"/>
              <w:right w:w="50" w:type="dxa"/>
            </w:tcMar>
          </w:tcPr>
          <w:p>
            <w:pPr>
              <w:spacing w:after="0" w:before="0"/>
              <w:jc w:val="left"/>
            </w:pPr>
            <w:r>
              <w:rPr>
                <w:rFonts w:ascii="Calibri" w:hAnsi="Calibri"/>
                <w:color w:val="1E293B"/>
                <w:sz w:val="16"/>
              </w:rPr>
              <w:t>3.500 €</w:t>
            </w:r>
          </w:p>
        </w:tc>
        <w:tc>
          <w:tcPr>
            <w:tcW w:type="dxa" w:w="940"/>
            <w:shd w:val="clear" w:color="auto" w:fill="F8FAFC"/>
            <w:tcMar>
              <w:top w:w="50" w:type="dxa"/>
              <w:bottom w:w="50" w:type="dxa"/>
              <w:left w:w="50" w:type="dxa"/>
              <w:right w:w="50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Calibri" w:hAnsi="Calibri"/>
                <w:color w:val="16A34A"/>
                <w:sz w:val="16"/>
              </w:rPr>
              <w:t>-500 €</w:t>
            </w:r>
          </w:p>
        </w:tc>
        <w:tc>
          <w:tcPr>
            <w:tcW w:type="dxa" w:w="873"/>
            <w:shd w:val="clear" w:color="auto" w:fill="F8FAFC"/>
            <w:tcMar>
              <w:top w:w="50" w:type="dxa"/>
              <w:bottom w:w="50" w:type="dxa"/>
              <w:left w:w="50" w:type="dxa"/>
              <w:right w:w="50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Calibri" w:hAnsi="Calibri"/>
                <w:color w:val="1E293B"/>
                <w:sz w:val="16"/>
              </w:rPr>
              <w:t>40 %</w:t>
            </w:r>
          </w:p>
        </w:tc>
        <w:tc>
          <w:tcPr>
            <w:tcW w:type="dxa" w:w="1209"/>
            <w:shd w:val="clear" w:color="auto" w:fill="F8FAFC"/>
            <w:tcMar>
              <w:top w:w="50" w:type="dxa"/>
              <w:bottom w:w="50" w:type="dxa"/>
              <w:left w:w="50" w:type="dxa"/>
              <w:right w:w="50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Calibri" w:hAnsi="Calibri"/>
                <w:b/>
                <w:color w:val="2563EB"/>
                <w:sz w:val="16"/>
              </w:rPr>
              <w:t>In Bearb.</w:t>
            </w:r>
          </w:p>
        </w:tc>
        <w:tc>
          <w:tcPr>
            <w:tcW w:type="dxa" w:w="2217"/>
            <w:shd w:val="clear" w:color="auto" w:fill="F8FAFC"/>
            <w:tcMar>
              <w:top w:w="50" w:type="dxa"/>
              <w:bottom w:w="50" w:type="dxa"/>
              <w:left w:w="50" w:type="dxa"/>
              <w:right w:w="50" w:type="dxa"/>
            </w:tcMar>
          </w:tcPr>
          <w:p>
            <w:pPr>
              <w:spacing w:after="0" w:before="0"/>
              <w:jc w:val="left"/>
            </w:pPr>
            <w:r>
              <w:rPr>
                <w:rFonts w:ascii="Calibri" w:hAnsi="Calibri"/>
                <w:color w:val="1E293B"/>
                <w:sz w:val="16"/>
              </w:rPr>
              <w:t>Klaviyo-Flows aufgesetzt; Copywriting noch offen.</w:t>
            </w:r>
          </w:p>
        </w:tc>
      </w:tr>
      <w:tr>
        <w:tc>
          <w:tcPr>
            <w:tcW w:type="dxa" w:w="537"/>
            <w:shd w:val="clear" w:color="auto" w:fill="FFFFFF"/>
            <w:tcMar>
              <w:top w:w="50" w:type="dxa"/>
              <w:bottom w:w="50" w:type="dxa"/>
              <w:left w:w="50" w:type="dxa"/>
              <w:right w:w="50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Calibri" w:hAnsi="Calibri"/>
                <w:color w:val="1E293B"/>
                <w:sz w:val="16"/>
              </w:rPr>
              <w:t>M-07</w:t>
            </w:r>
          </w:p>
        </w:tc>
        <w:tc>
          <w:tcPr>
            <w:tcW w:type="dxa" w:w="2956"/>
            <w:shd w:val="clear" w:color="auto" w:fill="FFFFFF"/>
            <w:tcMar>
              <w:top w:w="50" w:type="dxa"/>
              <w:bottom w:w="50" w:type="dxa"/>
              <w:left w:w="50" w:type="dxa"/>
              <w:right w:w="50" w:type="dxa"/>
            </w:tcMar>
          </w:tcPr>
          <w:p>
            <w:pPr>
              <w:spacing w:after="0" w:before="0"/>
              <w:jc w:val="left"/>
            </w:pPr>
            <w:r>
              <w:rPr>
                <w:rFonts w:ascii="Calibri" w:hAnsi="Calibri"/>
                <w:color w:val="1E293B"/>
                <w:sz w:val="16"/>
              </w:rPr>
              <w:t>Lieferanten-SLA-Audit &amp; Nachverhandlung Frachttarife</w:t>
            </w:r>
          </w:p>
        </w:tc>
        <w:tc>
          <w:tcPr>
            <w:tcW w:type="dxa" w:w="1612"/>
            <w:shd w:val="clear" w:color="auto" w:fill="FFFFFF"/>
            <w:tcMar>
              <w:top w:w="50" w:type="dxa"/>
              <w:bottom w:w="50" w:type="dxa"/>
              <w:left w:w="50" w:type="dxa"/>
              <w:right w:w="50" w:type="dxa"/>
            </w:tcMar>
          </w:tcPr>
          <w:p>
            <w:pPr>
              <w:spacing w:after="0" w:before="0"/>
              <w:jc w:val="left"/>
            </w:pPr>
            <w:r>
              <w:rPr>
                <w:rFonts w:ascii="Calibri" w:hAnsi="Calibri"/>
                <w:color w:val="1E293B"/>
                <w:sz w:val="16"/>
              </w:rPr>
              <w:t>D. Wagner (Procurement)</w:t>
            </w:r>
          </w:p>
        </w:tc>
        <w:tc>
          <w:tcPr>
            <w:tcW w:type="dxa" w:w="940"/>
            <w:shd w:val="clear" w:color="auto" w:fill="FFFFFF"/>
            <w:tcMar>
              <w:top w:w="50" w:type="dxa"/>
              <w:bottom w:w="50" w:type="dxa"/>
              <w:left w:w="50" w:type="dxa"/>
              <w:right w:w="50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Calibri" w:hAnsi="Calibri"/>
                <w:color w:val="1E293B"/>
                <w:sz w:val="16"/>
              </w:rPr>
              <w:t>01.11.26</w:t>
            </w:r>
          </w:p>
        </w:tc>
        <w:tc>
          <w:tcPr>
            <w:tcW w:type="dxa" w:w="940"/>
            <w:shd w:val="clear" w:color="auto" w:fill="FFFFFF"/>
            <w:tcMar>
              <w:top w:w="50" w:type="dxa"/>
              <w:bottom w:w="50" w:type="dxa"/>
              <w:left w:w="50" w:type="dxa"/>
              <w:right w:w="50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Calibri" w:hAnsi="Calibri"/>
                <w:color w:val="1E293B"/>
                <w:sz w:val="16"/>
              </w:rPr>
              <w:t>15.12.26</w:t>
            </w:r>
          </w:p>
        </w:tc>
        <w:tc>
          <w:tcPr>
            <w:tcW w:type="dxa" w:w="806"/>
            <w:shd w:val="clear" w:color="auto" w:fill="FFFFFF"/>
            <w:tcMar>
              <w:top w:w="50" w:type="dxa"/>
              <w:bottom w:w="50" w:type="dxa"/>
              <w:left w:w="50" w:type="dxa"/>
              <w:right w:w="50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Calibri" w:hAnsi="Calibri"/>
                <w:color w:val="D97706"/>
                <w:sz w:val="16"/>
              </w:rPr>
              <w:t>Mittel</w:t>
            </w:r>
          </w:p>
        </w:tc>
        <w:tc>
          <w:tcPr>
            <w:tcW w:type="dxa" w:w="1008"/>
            <w:shd w:val="clear" w:color="auto" w:fill="FFFFFF"/>
            <w:tcMar>
              <w:top w:w="50" w:type="dxa"/>
              <w:bottom w:w="50" w:type="dxa"/>
              <w:left w:w="50" w:type="dxa"/>
              <w:right w:w="50" w:type="dxa"/>
            </w:tcMar>
          </w:tcPr>
          <w:p>
            <w:pPr>
              <w:spacing w:after="0" w:before="0"/>
              <w:jc w:val="left"/>
            </w:pPr>
            <w:r>
              <w:rPr>
                <w:rFonts w:ascii="Calibri" w:hAnsi="Calibri"/>
                <w:color w:val="1E293B"/>
                <w:sz w:val="16"/>
              </w:rPr>
              <w:t>3.000 €</w:t>
            </w:r>
          </w:p>
        </w:tc>
        <w:tc>
          <w:tcPr>
            <w:tcW w:type="dxa" w:w="1008"/>
            <w:shd w:val="clear" w:color="auto" w:fill="FFFFFF"/>
            <w:tcMar>
              <w:top w:w="50" w:type="dxa"/>
              <w:bottom w:w="50" w:type="dxa"/>
              <w:left w:w="50" w:type="dxa"/>
              <w:right w:w="50" w:type="dxa"/>
            </w:tcMar>
          </w:tcPr>
          <w:p>
            <w:pPr>
              <w:spacing w:after="0" w:before="0"/>
              <w:jc w:val="left"/>
            </w:pPr>
            <w:r>
              <w:rPr>
                <w:rFonts w:ascii="Calibri" w:hAnsi="Calibri"/>
                <w:color w:val="1E293B"/>
                <w:sz w:val="16"/>
              </w:rPr>
              <w:t>2.800 €</w:t>
            </w:r>
          </w:p>
        </w:tc>
        <w:tc>
          <w:tcPr>
            <w:tcW w:type="dxa" w:w="940"/>
            <w:shd w:val="clear" w:color="auto" w:fill="FFFFFF"/>
            <w:tcMar>
              <w:top w:w="50" w:type="dxa"/>
              <w:bottom w:w="50" w:type="dxa"/>
              <w:left w:w="50" w:type="dxa"/>
              <w:right w:w="50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Calibri" w:hAnsi="Calibri"/>
                <w:color w:val="16A34A"/>
                <w:sz w:val="16"/>
              </w:rPr>
              <w:t>-200 €</w:t>
            </w:r>
          </w:p>
        </w:tc>
        <w:tc>
          <w:tcPr>
            <w:tcW w:type="dxa" w:w="873"/>
            <w:shd w:val="clear" w:color="auto" w:fill="FFFFFF"/>
            <w:tcMar>
              <w:top w:w="50" w:type="dxa"/>
              <w:bottom w:w="50" w:type="dxa"/>
              <w:left w:w="50" w:type="dxa"/>
              <w:right w:w="50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Calibri" w:hAnsi="Calibri"/>
                <w:color w:val="1E293B"/>
                <w:sz w:val="16"/>
              </w:rPr>
              <w:t>15 %</w:t>
            </w:r>
          </w:p>
        </w:tc>
        <w:tc>
          <w:tcPr>
            <w:tcW w:type="dxa" w:w="1209"/>
            <w:shd w:val="clear" w:color="auto" w:fill="FFFFFF"/>
            <w:tcMar>
              <w:top w:w="50" w:type="dxa"/>
              <w:bottom w:w="50" w:type="dxa"/>
              <w:left w:w="50" w:type="dxa"/>
              <w:right w:w="50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Calibri" w:hAnsi="Calibri"/>
                <w:b/>
                <w:color w:val="2563EB"/>
                <w:sz w:val="16"/>
              </w:rPr>
              <w:t>In Bearb.</w:t>
            </w:r>
          </w:p>
        </w:tc>
        <w:tc>
          <w:tcPr>
            <w:tcW w:type="dxa" w:w="2217"/>
            <w:shd w:val="clear" w:color="auto" w:fill="FFFFFF"/>
            <w:tcMar>
              <w:top w:w="50" w:type="dxa"/>
              <w:bottom w:w="50" w:type="dxa"/>
              <w:left w:w="50" w:type="dxa"/>
              <w:right w:w="50" w:type="dxa"/>
            </w:tcMar>
          </w:tcPr>
          <w:p>
            <w:pPr>
              <w:spacing w:after="0" w:before="0"/>
              <w:jc w:val="left"/>
            </w:pPr>
            <w:r>
              <w:rPr>
                <w:rFonts w:ascii="Calibri" w:hAnsi="Calibri"/>
                <w:color w:val="1E293B"/>
                <w:sz w:val="16"/>
              </w:rPr>
              <w:t>Vorgespräche mit 3 Speditionen initiiert.</w:t>
            </w:r>
          </w:p>
        </w:tc>
      </w:tr>
      <w:tr>
        <w:tc>
          <w:tcPr>
            <w:tcW w:type="dxa" w:w="537"/>
            <w:shd w:val="clear" w:color="auto" w:fill="F8FAFC"/>
            <w:tcMar>
              <w:top w:w="50" w:type="dxa"/>
              <w:bottom w:w="50" w:type="dxa"/>
              <w:left w:w="50" w:type="dxa"/>
              <w:right w:w="50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Calibri" w:hAnsi="Calibri"/>
                <w:color w:val="1E293B"/>
                <w:sz w:val="16"/>
              </w:rPr>
              <w:t>M-08</w:t>
            </w:r>
          </w:p>
        </w:tc>
        <w:tc>
          <w:tcPr>
            <w:tcW w:type="dxa" w:w="2956"/>
            <w:shd w:val="clear" w:color="auto" w:fill="F8FAFC"/>
            <w:tcMar>
              <w:top w:w="50" w:type="dxa"/>
              <w:bottom w:w="50" w:type="dxa"/>
              <w:left w:w="50" w:type="dxa"/>
              <w:right w:w="50" w:type="dxa"/>
            </w:tcMar>
          </w:tcPr>
          <w:p>
            <w:pPr>
              <w:spacing w:after="0" w:before="0"/>
              <w:jc w:val="left"/>
            </w:pPr>
            <w:r>
              <w:rPr>
                <w:rFonts w:ascii="Calibri" w:hAnsi="Calibri"/>
                <w:color w:val="1E293B"/>
                <w:sz w:val="16"/>
              </w:rPr>
              <w:t>Post-Purchase Zufriedenheitsbefragung (NPS-Tool)</w:t>
            </w:r>
          </w:p>
        </w:tc>
        <w:tc>
          <w:tcPr>
            <w:tcW w:type="dxa" w:w="1612"/>
            <w:shd w:val="clear" w:color="auto" w:fill="F8FAFC"/>
            <w:tcMar>
              <w:top w:w="50" w:type="dxa"/>
              <w:bottom w:w="50" w:type="dxa"/>
              <w:left w:w="50" w:type="dxa"/>
              <w:right w:w="50" w:type="dxa"/>
            </w:tcMar>
          </w:tcPr>
          <w:p>
            <w:pPr>
              <w:spacing w:after="0" w:before="0"/>
              <w:jc w:val="left"/>
            </w:pPr>
            <w:r>
              <w:rPr>
                <w:rFonts w:ascii="Calibri" w:hAnsi="Calibri"/>
                <w:color w:val="1E293B"/>
                <w:sz w:val="16"/>
              </w:rPr>
              <w:t>L. Maier (Customer)</w:t>
            </w:r>
          </w:p>
        </w:tc>
        <w:tc>
          <w:tcPr>
            <w:tcW w:type="dxa" w:w="940"/>
            <w:shd w:val="clear" w:color="auto" w:fill="F8FAFC"/>
            <w:tcMar>
              <w:top w:w="50" w:type="dxa"/>
              <w:bottom w:w="50" w:type="dxa"/>
              <w:left w:w="50" w:type="dxa"/>
              <w:right w:w="50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Calibri" w:hAnsi="Calibri"/>
                <w:color w:val="1E293B"/>
                <w:sz w:val="16"/>
              </w:rPr>
              <w:t>15.11.26</w:t>
            </w:r>
          </w:p>
        </w:tc>
        <w:tc>
          <w:tcPr>
            <w:tcW w:type="dxa" w:w="940"/>
            <w:shd w:val="clear" w:color="auto" w:fill="F8FAFC"/>
            <w:tcMar>
              <w:top w:w="50" w:type="dxa"/>
              <w:bottom w:w="50" w:type="dxa"/>
              <w:left w:w="50" w:type="dxa"/>
              <w:right w:w="50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Calibri" w:hAnsi="Calibri"/>
                <w:color w:val="1E293B"/>
                <w:sz w:val="16"/>
              </w:rPr>
              <w:t>31.12.26</w:t>
            </w:r>
          </w:p>
        </w:tc>
        <w:tc>
          <w:tcPr>
            <w:tcW w:type="dxa" w:w="806"/>
            <w:shd w:val="clear" w:color="auto" w:fill="F8FAFC"/>
            <w:tcMar>
              <w:top w:w="50" w:type="dxa"/>
              <w:bottom w:w="50" w:type="dxa"/>
              <w:left w:w="50" w:type="dxa"/>
              <w:right w:w="50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Calibri" w:hAnsi="Calibri"/>
                <w:color w:val="4B5563"/>
                <w:sz w:val="16"/>
              </w:rPr>
              <w:t>Niedrig</w:t>
            </w:r>
          </w:p>
        </w:tc>
        <w:tc>
          <w:tcPr>
            <w:tcW w:type="dxa" w:w="1008"/>
            <w:shd w:val="clear" w:color="auto" w:fill="F8FAFC"/>
            <w:tcMar>
              <w:top w:w="50" w:type="dxa"/>
              <w:bottom w:w="50" w:type="dxa"/>
              <w:left w:w="50" w:type="dxa"/>
              <w:right w:w="50" w:type="dxa"/>
            </w:tcMar>
          </w:tcPr>
          <w:p>
            <w:pPr>
              <w:spacing w:after="0" w:before="0"/>
              <w:jc w:val="left"/>
            </w:pPr>
            <w:r>
              <w:rPr>
                <w:rFonts w:ascii="Calibri" w:hAnsi="Calibri"/>
                <w:color w:val="1E293B"/>
                <w:sz w:val="16"/>
              </w:rPr>
              <w:t>2.000 €</w:t>
            </w:r>
          </w:p>
        </w:tc>
        <w:tc>
          <w:tcPr>
            <w:tcW w:type="dxa" w:w="1008"/>
            <w:shd w:val="clear" w:color="auto" w:fill="F8FAFC"/>
            <w:tcMar>
              <w:top w:w="50" w:type="dxa"/>
              <w:bottom w:w="50" w:type="dxa"/>
              <w:left w:w="50" w:type="dxa"/>
              <w:right w:w="50" w:type="dxa"/>
            </w:tcMar>
          </w:tcPr>
          <w:p>
            <w:pPr>
              <w:spacing w:after="0" w:before="0"/>
              <w:jc w:val="left"/>
            </w:pPr>
            <w:r>
              <w:rPr>
                <w:rFonts w:ascii="Calibri" w:hAnsi="Calibri"/>
                <w:color w:val="1E293B"/>
                <w:sz w:val="16"/>
              </w:rPr>
              <w:t>2.200 €</w:t>
            </w:r>
          </w:p>
        </w:tc>
        <w:tc>
          <w:tcPr>
            <w:tcW w:type="dxa" w:w="940"/>
            <w:shd w:val="clear" w:color="auto" w:fill="F8FAFC"/>
            <w:tcMar>
              <w:top w:w="50" w:type="dxa"/>
              <w:bottom w:w="50" w:type="dxa"/>
              <w:left w:w="50" w:type="dxa"/>
              <w:right w:w="50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Calibri" w:hAnsi="Calibri"/>
                <w:b/>
                <w:color w:val="DC2626"/>
                <w:sz w:val="16"/>
              </w:rPr>
              <w:t>+200 €</w:t>
            </w:r>
          </w:p>
        </w:tc>
        <w:tc>
          <w:tcPr>
            <w:tcW w:type="dxa" w:w="873"/>
            <w:shd w:val="clear" w:color="auto" w:fill="F8FAFC"/>
            <w:tcMar>
              <w:top w:w="50" w:type="dxa"/>
              <w:bottom w:w="50" w:type="dxa"/>
              <w:left w:w="50" w:type="dxa"/>
              <w:right w:w="50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Calibri" w:hAnsi="Calibri"/>
                <w:color w:val="1E293B"/>
                <w:sz w:val="16"/>
              </w:rPr>
              <w:t>0 %</w:t>
            </w:r>
          </w:p>
        </w:tc>
        <w:tc>
          <w:tcPr>
            <w:tcW w:type="dxa" w:w="1209"/>
            <w:shd w:val="clear" w:color="auto" w:fill="F8FAFC"/>
            <w:tcMar>
              <w:top w:w="50" w:type="dxa"/>
              <w:bottom w:w="50" w:type="dxa"/>
              <w:left w:w="50" w:type="dxa"/>
              <w:right w:w="50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Calibri" w:hAnsi="Calibri"/>
                <w:color w:val="64748B"/>
                <w:sz w:val="16"/>
              </w:rPr>
              <w:t>Offen</w:t>
            </w:r>
          </w:p>
        </w:tc>
        <w:tc>
          <w:tcPr>
            <w:tcW w:type="dxa" w:w="2217"/>
            <w:shd w:val="clear" w:color="auto" w:fill="F8FAFC"/>
            <w:tcMar>
              <w:top w:w="50" w:type="dxa"/>
              <w:bottom w:w="50" w:type="dxa"/>
              <w:left w:w="50" w:type="dxa"/>
              <w:right w:w="50" w:type="dxa"/>
            </w:tcMar>
          </w:tcPr>
          <w:p>
            <w:pPr>
              <w:spacing w:after="0" w:before="0"/>
              <w:jc w:val="left"/>
            </w:pPr>
            <w:r>
              <w:rPr>
                <w:rFonts w:ascii="Calibri" w:hAnsi="Calibri"/>
                <w:color w:val="1E293B"/>
                <w:sz w:val="16"/>
              </w:rPr>
              <w:t>Tool-Auswahl abgeschlossen (Typeform Enterprise).</w:t>
            </w:r>
          </w:p>
        </w:tc>
      </w:tr>
      <w:tr>
        <w:tc>
          <w:tcPr>
            <w:tcW w:type="dxa" w:w="537"/>
            <w:shd w:val="clear" w:color="auto" w:fill="F1F5F9"/>
            <w:tcMar>
              <w:top w:w="50" w:type="dxa"/>
              <w:bottom w:w="50" w:type="dxa"/>
              <w:left w:w="50" w:type="dxa"/>
              <w:right w:w="50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Calibri" w:hAnsi="Calibri"/>
                <w:i/>
                <w:color w:val="8C96A5"/>
                <w:sz w:val="16"/>
              </w:rPr>
              <w:t>[M-09]</w:t>
            </w:r>
          </w:p>
        </w:tc>
        <w:tc>
          <w:tcPr>
            <w:tcW w:type="dxa" w:w="2956"/>
            <w:shd w:val="clear" w:color="auto" w:fill="F1F5F9"/>
            <w:tcMar>
              <w:top w:w="50" w:type="dxa"/>
              <w:bottom w:w="50" w:type="dxa"/>
              <w:left w:w="50" w:type="dxa"/>
              <w:right w:w="50" w:type="dxa"/>
            </w:tcMar>
          </w:tcPr>
          <w:p>
            <w:pPr>
              <w:spacing w:after="0" w:before="0"/>
              <w:jc w:val="left"/>
            </w:pPr>
            <w:r>
              <w:rPr>
                <w:rFonts w:ascii="Calibri" w:hAnsi="Calibri"/>
                <w:i/>
                <w:color w:val="8C96A5"/>
                <w:sz w:val="16"/>
              </w:rPr>
              <w:t>[Platzhalter: Neue Maßnahme eingeben]</w:t>
            </w:r>
          </w:p>
        </w:tc>
        <w:tc>
          <w:tcPr>
            <w:tcW w:type="dxa" w:w="1612"/>
            <w:shd w:val="clear" w:color="auto" w:fill="F1F5F9"/>
            <w:tcMar>
              <w:top w:w="50" w:type="dxa"/>
              <w:bottom w:w="50" w:type="dxa"/>
              <w:left w:w="50" w:type="dxa"/>
              <w:right w:w="50" w:type="dxa"/>
            </w:tcMar>
          </w:tcPr>
          <w:p>
            <w:pPr>
              <w:spacing w:after="0" w:before="0"/>
              <w:jc w:val="left"/>
            </w:pPr>
            <w:r>
              <w:rPr>
                <w:rFonts w:ascii="Calibri" w:hAnsi="Calibri"/>
                <w:i/>
                <w:color w:val="8C96A5"/>
                <w:sz w:val="16"/>
              </w:rPr>
              <w:t>[Verantwortlicher]</w:t>
            </w:r>
          </w:p>
        </w:tc>
        <w:tc>
          <w:tcPr>
            <w:tcW w:type="dxa" w:w="940"/>
            <w:shd w:val="clear" w:color="auto" w:fill="F1F5F9"/>
            <w:tcMar>
              <w:top w:w="50" w:type="dxa"/>
              <w:bottom w:w="50" w:type="dxa"/>
              <w:left w:w="50" w:type="dxa"/>
              <w:right w:w="50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Calibri" w:hAnsi="Calibri"/>
                <w:i/>
                <w:color w:val="8C96A5"/>
                <w:sz w:val="16"/>
              </w:rPr>
              <w:t>[TT.MM.JJ]</w:t>
            </w:r>
          </w:p>
        </w:tc>
        <w:tc>
          <w:tcPr>
            <w:tcW w:type="dxa" w:w="940"/>
            <w:shd w:val="clear" w:color="auto" w:fill="F1F5F9"/>
            <w:tcMar>
              <w:top w:w="50" w:type="dxa"/>
              <w:bottom w:w="50" w:type="dxa"/>
              <w:left w:w="50" w:type="dxa"/>
              <w:right w:w="50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Calibri" w:hAnsi="Calibri"/>
                <w:i/>
                <w:color w:val="8C96A5"/>
                <w:sz w:val="16"/>
              </w:rPr>
              <w:t>[TT.MM.JJ]</w:t>
            </w:r>
          </w:p>
        </w:tc>
        <w:tc>
          <w:tcPr>
            <w:tcW w:type="dxa" w:w="806"/>
            <w:shd w:val="clear" w:color="auto" w:fill="F1F5F9"/>
            <w:tcMar>
              <w:top w:w="50" w:type="dxa"/>
              <w:bottom w:w="50" w:type="dxa"/>
              <w:left w:w="50" w:type="dxa"/>
              <w:right w:w="50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Calibri" w:hAnsi="Calibri"/>
                <w:i/>
                <w:color w:val="8C96A5"/>
                <w:sz w:val="16"/>
              </w:rPr>
              <w:t>[Prio]</w:t>
            </w:r>
          </w:p>
        </w:tc>
        <w:tc>
          <w:tcPr>
            <w:tcW w:type="dxa" w:w="1008"/>
            <w:shd w:val="clear" w:color="auto" w:fill="F1F5F9"/>
            <w:tcMar>
              <w:top w:w="50" w:type="dxa"/>
              <w:bottom w:w="50" w:type="dxa"/>
              <w:left w:w="50" w:type="dxa"/>
              <w:right w:w="50" w:type="dxa"/>
            </w:tcMar>
          </w:tcPr>
          <w:p>
            <w:pPr>
              <w:spacing w:after="0" w:before="0"/>
              <w:jc w:val="left"/>
            </w:pPr>
            <w:r>
              <w:rPr>
                <w:rFonts w:ascii="Calibri" w:hAnsi="Calibri"/>
                <w:i/>
                <w:color w:val="8C96A5"/>
                <w:sz w:val="16"/>
              </w:rPr>
              <w:t>[0 €]</w:t>
            </w:r>
          </w:p>
        </w:tc>
        <w:tc>
          <w:tcPr>
            <w:tcW w:type="dxa" w:w="1008"/>
            <w:shd w:val="clear" w:color="auto" w:fill="F1F5F9"/>
            <w:tcMar>
              <w:top w:w="50" w:type="dxa"/>
              <w:bottom w:w="50" w:type="dxa"/>
              <w:left w:w="50" w:type="dxa"/>
              <w:right w:w="50" w:type="dxa"/>
            </w:tcMar>
          </w:tcPr>
          <w:p>
            <w:pPr>
              <w:spacing w:after="0" w:before="0"/>
              <w:jc w:val="left"/>
            </w:pPr>
            <w:r>
              <w:rPr>
                <w:rFonts w:ascii="Calibri" w:hAnsi="Calibri"/>
                <w:i/>
                <w:color w:val="8C96A5"/>
                <w:sz w:val="16"/>
              </w:rPr>
              <w:t>[0 €]</w:t>
            </w:r>
          </w:p>
        </w:tc>
        <w:tc>
          <w:tcPr>
            <w:tcW w:type="dxa" w:w="940"/>
            <w:shd w:val="clear" w:color="auto" w:fill="F1F5F9"/>
            <w:tcMar>
              <w:top w:w="50" w:type="dxa"/>
              <w:bottom w:w="50" w:type="dxa"/>
              <w:left w:w="50" w:type="dxa"/>
              <w:right w:w="50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Calibri" w:hAnsi="Calibri"/>
                <w:i/>
                <w:color w:val="8C96A5"/>
                <w:sz w:val="16"/>
              </w:rPr>
              <w:t>[0 €]</w:t>
            </w:r>
          </w:p>
        </w:tc>
        <w:tc>
          <w:tcPr>
            <w:tcW w:type="dxa" w:w="873"/>
            <w:shd w:val="clear" w:color="auto" w:fill="F1F5F9"/>
            <w:tcMar>
              <w:top w:w="50" w:type="dxa"/>
              <w:bottom w:w="50" w:type="dxa"/>
              <w:left w:w="50" w:type="dxa"/>
              <w:right w:w="50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Calibri" w:hAnsi="Calibri"/>
                <w:i/>
                <w:color w:val="8C96A5"/>
                <w:sz w:val="16"/>
              </w:rPr>
              <w:t>[0 %]</w:t>
            </w:r>
          </w:p>
        </w:tc>
        <w:tc>
          <w:tcPr>
            <w:tcW w:type="dxa" w:w="1209"/>
            <w:shd w:val="clear" w:color="auto" w:fill="F1F5F9"/>
            <w:tcMar>
              <w:top w:w="50" w:type="dxa"/>
              <w:bottom w:w="50" w:type="dxa"/>
              <w:left w:w="50" w:type="dxa"/>
              <w:right w:w="50" w:type="dxa"/>
            </w:tcMar>
          </w:tcPr>
          <w:p>
            <w:pPr>
              <w:spacing w:after="0" w:before="0"/>
              <w:jc w:val="center"/>
            </w:pPr>
            <w:r>
              <w:rPr>
                <w:rFonts w:ascii="Calibri" w:hAnsi="Calibri"/>
                <w:i/>
                <w:color w:val="8C96A5"/>
                <w:sz w:val="16"/>
              </w:rPr>
              <w:t>[Offen]</w:t>
            </w:r>
          </w:p>
        </w:tc>
        <w:tc>
          <w:tcPr>
            <w:tcW w:type="dxa" w:w="2217"/>
            <w:shd w:val="clear" w:color="auto" w:fill="F1F5F9"/>
            <w:tcMar>
              <w:top w:w="50" w:type="dxa"/>
              <w:bottom w:w="50" w:type="dxa"/>
              <w:left w:w="50" w:type="dxa"/>
              <w:right w:w="50" w:type="dxa"/>
            </w:tcMar>
          </w:tcPr>
          <w:p>
            <w:pPr>
              <w:spacing w:after="0" w:before="0"/>
              <w:jc w:val="left"/>
            </w:pPr>
            <w:r>
              <w:rPr>
                <w:rFonts w:ascii="Calibri" w:hAnsi="Calibri"/>
                <w:i/>
                <w:color w:val="8C96A5"/>
                <w:sz w:val="16"/>
              </w:rPr>
              <w:t>[Konkrete Meilensteine / Risiken eintragen]</w:t>
            </w:r>
          </w:p>
        </w:tc>
      </w:tr>
    </w:tbl>
    <w:p>
      <w:r>
        <w:br w:type="page"/>
      </w:r>
    </w:p>
    <w:p>
      <w:pPr>
        <w:spacing w:before="0" w:after="80"/>
      </w:pPr>
      <w:r>
        <w:rPr>
          <w:rFonts w:ascii="Calibri" w:hAnsi="Calibri"/>
          <w:b/>
          <w:color w:val="182B49"/>
          <w:sz w:val="32"/>
        </w:rPr>
        <w:t>Leitfaden &amp; Controlling-Systematik zum Maßnahmenplan</w:t>
      </w:r>
    </w:p>
    <w:p>
      <w:pPr>
        <w:spacing w:after="280"/>
      </w:pPr>
      <w:r>
        <w:rPr>
          <w:rFonts w:ascii="Calibri" w:hAnsi="Calibri"/>
          <w:color w:val="64748B"/>
          <w:sz w:val="20"/>
        </w:rPr>
        <w:t>Standardisierter 7-Punkte-Aufbau, mathematische Controlling-Formeln und Implementierungs-Framework</w:t>
      </w:r>
    </w:p>
    <w:p>
      <w:pPr>
        <w:spacing w:before="160" w:after="80"/>
      </w:pPr>
      <w:r>
        <w:rPr>
          <w:rFonts w:ascii="Calibri" w:hAnsi="Calibri"/>
          <w:b/>
          <w:color w:val="182B49"/>
          <w:sz w:val="24"/>
        </w:rPr>
        <w:t>1. Die 7 Kernelemente eines wirksamen Maßnahmenplans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BD5E1"/>
          <w:bottom w:val="single" w:sz="4" w:space="0" w:color="CBD5E1"/>
          <w:left w:val="none"/>
          <w:right w:val="none"/>
          <w:insideH w:val="single" w:sz="4" w:space="0" w:color="CBD5E1"/>
          <w:insideV w:val="none"/>
        </w:tblBorders>
      </w:tblPr>
      <w:tblGrid>
        <w:gridCol w:w="5035"/>
        <w:gridCol w:w="5035"/>
        <w:gridCol w:w="5035"/>
      </w:tblGrid>
      <w:tr>
        <w:tc>
          <w:tcPr>
            <w:tcW w:type="dxa" w:w="2592"/>
            <w:shd w:val="clear" w:color="auto" w:fill="182B49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after="0" w:before="0"/>
            </w:pPr>
            <w:r>
              <w:rPr>
                <w:rFonts w:ascii="Calibri" w:hAnsi="Calibri"/>
                <w:b/>
                <w:color w:val="FFFFFF"/>
                <w:sz w:val="17"/>
              </w:rPr>
              <w:t>Kernelement</w:t>
            </w:r>
          </w:p>
        </w:tc>
        <w:tc>
          <w:tcPr>
            <w:tcW w:type="dxa" w:w="6192"/>
            <w:shd w:val="clear" w:color="auto" w:fill="182B49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after="0" w:before="0"/>
            </w:pPr>
            <w:r>
              <w:rPr>
                <w:rFonts w:ascii="Calibri" w:hAnsi="Calibri"/>
                <w:b/>
                <w:color w:val="FFFFFF"/>
                <w:sz w:val="17"/>
              </w:rPr>
              <w:t>Definition &amp; Zweck</w:t>
            </w:r>
          </w:p>
        </w:tc>
        <w:tc>
          <w:tcPr>
            <w:tcW w:type="dxa" w:w="6264"/>
            <w:shd w:val="clear" w:color="auto" w:fill="182B49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after="0" w:before="0"/>
            </w:pPr>
            <w:r>
              <w:rPr>
                <w:rFonts w:ascii="Calibri" w:hAnsi="Calibri"/>
                <w:b/>
                <w:color w:val="FFFFFF"/>
                <w:sz w:val="17"/>
              </w:rPr>
              <w:t>Praxis-Anforderung &amp; Qualitätskriterium</w:t>
            </w:r>
          </w:p>
        </w:tc>
      </w:tr>
      <w:tr>
        <w:tc>
          <w:tcPr>
            <w:tcW w:type="dxa" w:w="2592"/>
            <w:shd w:val="clear" w:color="auto" w:fill="F8FAFC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after="0" w:before="0"/>
            </w:pPr>
            <w:r>
              <w:rPr>
                <w:rFonts w:ascii="Calibri" w:hAnsi="Calibri"/>
                <w:b/>
                <w:color w:val="182B49"/>
                <w:sz w:val="17"/>
              </w:rPr>
              <w:t>1. Übergeordnetes SMART-Ziel</w:t>
            </w:r>
          </w:p>
        </w:tc>
        <w:tc>
          <w:tcPr>
            <w:tcW w:type="dxa" w:w="6192"/>
            <w:shd w:val="clear" w:color="auto" w:fill="F8FAFC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after="0" w:before="0"/>
            </w:pPr>
            <w:r>
              <w:rPr>
                <w:rFonts w:ascii="Calibri" w:hAnsi="Calibri"/>
                <w:color w:val="1E293B"/>
                <w:sz w:val="17"/>
              </w:rPr>
              <w:t>Verankert die strategische Stoßrichtung der Maßnahmen.</w:t>
            </w:r>
          </w:p>
        </w:tc>
        <w:tc>
          <w:tcPr>
            <w:tcW w:type="dxa" w:w="6264"/>
            <w:shd w:val="clear" w:color="auto" w:fill="F8FAFC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after="0" w:before="0"/>
            </w:pPr>
            <w:r>
              <w:rPr>
                <w:rFonts w:ascii="Calibri" w:hAnsi="Calibri"/>
                <w:color w:val="1E293B"/>
                <w:sz w:val="17"/>
              </w:rPr>
              <w:t>Spezifisch, messbar, erreichbar, relevant und terminiert (z.B. '+20% Conversion bis Q4').</w:t>
            </w:r>
          </w:p>
        </w:tc>
      </w:tr>
      <w:tr>
        <w:tc>
          <w:tcPr>
            <w:tcW w:type="dxa" w:w="2592"/>
            <w:shd w:val="clear" w:color="auto" w:fill="FFFFFF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after="0" w:before="0"/>
            </w:pPr>
            <w:r>
              <w:rPr>
                <w:rFonts w:ascii="Calibri" w:hAnsi="Calibri"/>
                <w:b/>
                <w:color w:val="182B49"/>
                <w:sz w:val="17"/>
              </w:rPr>
              <w:t>2. Konkrete Maßnahmenbeschreibung</w:t>
            </w:r>
          </w:p>
        </w:tc>
        <w:tc>
          <w:tcPr>
            <w:tcW w:type="dxa" w:w="6192"/>
            <w:shd w:val="clear" w:color="auto" w:fill="FFFFFF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after="0" w:before="0"/>
            </w:pPr>
            <w:r>
              <w:rPr>
                <w:rFonts w:ascii="Calibri" w:hAnsi="Calibri"/>
                <w:color w:val="1E293B"/>
                <w:sz w:val="17"/>
              </w:rPr>
              <w:t>Präzises, operationalisierbares Arbeitspaket statt vager Absicht.</w:t>
            </w:r>
          </w:p>
        </w:tc>
        <w:tc>
          <w:tcPr>
            <w:tcW w:type="dxa" w:w="6264"/>
            <w:shd w:val="clear" w:color="auto" w:fill="FFFFFF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after="0" w:before="0"/>
            </w:pPr>
            <w:r>
              <w:rPr>
                <w:rFonts w:ascii="Calibri" w:hAnsi="Calibri"/>
                <w:color w:val="1E293B"/>
                <w:sz w:val="17"/>
              </w:rPr>
              <w:t>Beginnt mit aktivem Verb (z.B. 'Checkout-Redesign durchführen &amp; One-Click-Pay anbinden').</w:t>
            </w:r>
          </w:p>
        </w:tc>
      </w:tr>
      <w:tr>
        <w:tc>
          <w:tcPr>
            <w:tcW w:type="dxa" w:w="2592"/>
            <w:shd w:val="clear" w:color="auto" w:fill="F8FAFC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after="0" w:before="0"/>
            </w:pPr>
            <w:r>
              <w:rPr>
                <w:rFonts w:ascii="Calibri" w:hAnsi="Calibri"/>
                <w:b/>
                <w:color w:val="182B49"/>
                <w:sz w:val="17"/>
              </w:rPr>
              <w:t>3. Eindeutiger Verantwortlicher (Lead)</w:t>
            </w:r>
          </w:p>
        </w:tc>
        <w:tc>
          <w:tcPr>
            <w:tcW w:type="dxa" w:w="6192"/>
            <w:shd w:val="clear" w:color="auto" w:fill="F8FAFC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after="0" w:before="0"/>
            </w:pPr>
            <w:r>
              <w:rPr>
                <w:rFonts w:ascii="Calibri" w:hAnsi="Calibri"/>
                <w:color w:val="1E293B"/>
                <w:sz w:val="17"/>
              </w:rPr>
              <w:t>Single Point of Accountability (genau eine namentliche Person).</w:t>
            </w:r>
          </w:p>
        </w:tc>
        <w:tc>
          <w:tcPr>
            <w:tcW w:type="dxa" w:w="6264"/>
            <w:shd w:val="clear" w:color="auto" w:fill="F8FAFC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after="0" w:before="0"/>
            </w:pPr>
            <w:r>
              <w:rPr>
                <w:rFonts w:ascii="Calibri" w:hAnsi="Calibri"/>
                <w:color w:val="1E293B"/>
                <w:sz w:val="17"/>
              </w:rPr>
              <w:t>Keine Kollektivverantwortung ('Team UX'). Exklusive Zuweisung verhindert Verantwortungsdiffusion.</w:t>
            </w:r>
          </w:p>
        </w:tc>
      </w:tr>
      <w:tr>
        <w:tc>
          <w:tcPr>
            <w:tcW w:type="dxa" w:w="2592"/>
            <w:shd w:val="clear" w:color="auto" w:fill="FFFFFF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after="0" w:before="0"/>
            </w:pPr>
            <w:r>
              <w:rPr>
                <w:rFonts w:ascii="Calibri" w:hAnsi="Calibri"/>
                <w:b/>
                <w:color w:val="182B49"/>
                <w:sz w:val="17"/>
              </w:rPr>
              <w:t>4. Startdatum &amp; verbindliche Deadline</w:t>
            </w:r>
          </w:p>
        </w:tc>
        <w:tc>
          <w:tcPr>
            <w:tcW w:type="dxa" w:w="6192"/>
            <w:shd w:val="clear" w:color="auto" w:fill="FFFFFF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after="0" w:before="0"/>
            </w:pPr>
            <w:r>
              <w:rPr>
                <w:rFonts w:ascii="Calibri" w:hAnsi="Calibri"/>
                <w:color w:val="1E293B"/>
                <w:sz w:val="17"/>
              </w:rPr>
              <w:t>Definiert den verbindlichen Umsetzungszeitraum und Meilensteine.</w:t>
            </w:r>
          </w:p>
        </w:tc>
        <w:tc>
          <w:tcPr>
            <w:tcW w:type="dxa" w:w="6264"/>
            <w:shd w:val="clear" w:color="auto" w:fill="FFFFFF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after="0" w:before="0"/>
            </w:pPr>
            <w:r>
              <w:rPr>
                <w:rFonts w:ascii="Calibri" w:hAnsi="Calibri"/>
                <w:color w:val="1E293B"/>
                <w:sz w:val="17"/>
              </w:rPr>
              <w:t>Genaue Kalendertage oder Kalenderwochen; vermeidet chronisches Aufschieben ('Ende Quartal').</w:t>
            </w:r>
          </w:p>
        </w:tc>
      </w:tr>
      <w:tr>
        <w:tc>
          <w:tcPr>
            <w:tcW w:type="dxa" w:w="2592"/>
            <w:shd w:val="clear" w:color="auto" w:fill="F8FAFC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after="0" w:before="0"/>
            </w:pPr>
            <w:r>
              <w:rPr>
                <w:rFonts w:ascii="Calibri" w:hAnsi="Calibri"/>
                <w:b/>
                <w:color w:val="182B49"/>
                <w:sz w:val="17"/>
              </w:rPr>
              <w:t>5. Soll-Budget &amp; Kapazität</w:t>
            </w:r>
          </w:p>
        </w:tc>
        <w:tc>
          <w:tcPr>
            <w:tcW w:type="dxa" w:w="6192"/>
            <w:shd w:val="clear" w:color="auto" w:fill="F8FAFC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after="0" w:before="0"/>
            </w:pPr>
            <w:r>
              <w:rPr>
                <w:rFonts w:ascii="Calibri" w:hAnsi="Calibri"/>
                <w:color w:val="1E293B"/>
                <w:sz w:val="17"/>
              </w:rPr>
              <w:t>Ressourcenrahmen in Euro und/oder internen Personentagen.</w:t>
            </w:r>
          </w:p>
        </w:tc>
        <w:tc>
          <w:tcPr>
            <w:tcW w:type="dxa" w:w="6264"/>
            <w:shd w:val="clear" w:color="auto" w:fill="F8FAFC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after="0" w:before="0"/>
            </w:pPr>
            <w:r>
              <w:rPr>
                <w:rFonts w:ascii="Calibri" w:hAnsi="Calibri"/>
                <w:color w:val="1E293B"/>
                <w:sz w:val="17"/>
              </w:rPr>
              <w:t>Realistische Kapazitätsabsicherung; verhindert Ressourcenengpässe bei parallelen Initiativen.</w:t>
            </w:r>
          </w:p>
        </w:tc>
      </w:tr>
      <w:tr>
        <w:tc>
          <w:tcPr>
            <w:tcW w:type="dxa" w:w="2592"/>
            <w:shd w:val="clear" w:color="auto" w:fill="FFFFFF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after="0" w:before="0"/>
            </w:pPr>
            <w:r>
              <w:rPr>
                <w:rFonts w:ascii="Calibri" w:hAnsi="Calibri"/>
                <w:b/>
                <w:color w:val="182B49"/>
                <w:sz w:val="17"/>
              </w:rPr>
              <w:t>6. Priorisierung (Eisenhower-Logik)</w:t>
            </w:r>
          </w:p>
        </w:tc>
        <w:tc>
          <w:tcPr>
            <w:tcW w:type="dxa" w:w="6192"/>
            <w:shd w:val="clear" w:color="auto" w:fill="FFFFFF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after="0" w:before="0"/>
            </w:pPr>
            <w:r>
              <w:rPr>
                <w:rFonts w:ascii="Calibri" w:hAnsi="Calibri"/>
                <w:color w:val="1E293B"/>
                <w:sz w:val="17"/>
              </w:rPr>
              <w:t>Steuerung nach Dringlichkeit und Geschäftsauswirkung.</w:t>
            </w:r>
          </w:p>
        </w:tc>
        <w:tc>
          <w:tcPr>
            <w:tcW w:type="dxa" w:w="6264"/>
            <w:shd w:val="clear" w:color="auto" w:fill="FFFFFF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after="0" w:before="0"/>
            </w:pPr>
            <w:r>
              <w:rPr>
                <w:rFonts w:ascii="Calibri" w:hAnsi="Calibri"/>
                <w:color w:val="1E293B"/>
                <w:sz w:val="17"/>
              </w:rPr>
              <w:t>Klassifizierung in Hoch (Business Critical), Mittel (Standard) und Niedrig (Nice-to-have).</w:t>
            </w:r>
          </w:p>
        </w:tc>
      </w:tr>
      <w:tr>
        <w:tc>
          <w:tcPr>
            <w:tcW w:type="dxa" w:w="2592"/>
            <w:shd w:val="clear" w:color="auto" w:fill="F8FAFC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after="0" w:before="0"/>
            </w:pPr>
            <w:r>
              <w:rPr>
                <w:rFonts w:ascii="Calibri" w:hAnsi="Calibri"/>
                <w:b/>
                <w:color w:val="182B49"/>
                <w:sz w:val="17"/>
              </w:rPr>
              <w:t>7. Soll-Ist-Controlling &amp; Status</w:t>
            </w:r>
          </w:p>
        </w:tc>
        <w:tc>
          <w:tcPr>
            <w:tcW w:type="dxa" w:w="6192"/>
            <w:shd w:val="clear" w:color="auto" w:fill="F8FAFC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after="0" w:before="0"/>
            </w:pPr>
            <w:r>
              <w:rPr>
                <w:rFonts w:ascii="Calibri" w:hAnsi="Calibri"/>
                <w:color w:val="1E293B"/>
                <w:sz w:val="17"/>
              </w:rPr>
              <w:t>Fortlaufendes Tracking von Fortschritt, Ist-Kosten und Abweichung.</w:t>
            </w:r>
          </w:p>
        </w:tc>
        <w:tc>
          <w:tcPr>
            <w:tcW w:type="dxa" w:w="6264"/>
            <w:shd w:val="clear" w:color="auto" w:fill="F8FAFC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after="0" w:before="0"/>
            </w:pPr>
            <w:r>
              <w:rPr>
                <w:rFonts w:ascii="Calibri" w:hAnsi="Calibri"/>
                <w:color w:val="1E293B"/>
                <w:sz w:val="17"/>
              </w:rPr>
              <w:t>Wöchentliche/zweiwöchentliche Aktualisierung; transparente Dokumentation von Blocker-Risiken.</w:t>
            </w:r>
          </w:p>
        </w:tc>
      </w:tr>
    </w:tbl>
    <w:p>
      <w:pPr>
        <w:spacing w:before="280" w:after="80"/>
      </w:pPr>
      <w:r>
        <w:rPr>
          <w:rFonts w:ascii="Calibri" w:hAnsi="Calibri"/>
          <w:b/>
          <w:color w:val="182B49"/>
          <w:sz w:val="24"/>
        </w:rPr>
        <w:t>2. Controlling-Logik &amp; Mathematische Kennzahlen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BD5E1"/>
          <w:bottom w:val="single" w:sz="4" w:space="0" w:color="CBD5E1"/>
          <w:left w:val="none"/>
          <w:right w:val="none"/>
          <w:insideH w:val="single" w:sz="4" w:space="0" w:color="CBD5E1"/>
          <w:insideV w:val="none"/>
        </w:tblBorders>
      </w:tblPr>
      <w:tblGrid>
        <w:gridCol w:w="5035"/>
        <w:gridCol w:w="5035"/>
        <w:gridCol w:w="5035"/>
      </w:tblGrid>
      <w:tr>
        <w:tc>
          <w:tcPr>
            <w:tcW w:type="dxa" w:w="3456"/>
            <w:shd w:val="clear" w:color="auto" w:fill="182B49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after="0" w:before="0"/>
            </w:pPr>
            <w:r>
              <w:rPr>
                <w:rFonts w:ascii="Calibri" w:hAnsi="Calibri"/>
                <w:b/>
                <w:color w:val="FFFFFF"/>
                <w:sz w:val="17"/>
              </w:rPr>
              <w:t>Kennzahl / Metrik</w:t>
            </w:r>
          </w:p>
        </w:tc>
        <w:tc>
          <w:tcPr>
            <w:tcW w:type="dxa" w:w="5184"/>
            <w:shd w:val="clear" w:color="auto" w:fill="182B49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after="0" w:before="0"/>
            </w:pPr>
            <w:r>
              <w:rPr>
                <w:rFonts w:ascii="Calibri" w:hAnsi="Calibri"/>
                <w:b/>
                <w:color w:val="FFFFFF"/>
                <w:sz w:val="17"/>
              </w:rPr>
              <w:t>Mathematische Formel / Excel-Syntax</w:t>
            </w:r>
          </w:p>
        </w:tc>
        <w:tc>
          <w:tcPr>
            <w:tcW w:type="dxa" w:w="6408"/>
            <w:shd w:val="clear" w:color="auto" w:fill="182B49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after="0" w:before="0"/>
            </w:pPr>
            <w:r>
              <w:rPr>
                <w:rFonts w:ascii="Calibri" w:hAnsi="Calibri"/>
                <w:b/>
                <w:color w:val="FFFFFF"/>
                <w:sz w:val="17"/>
              </w:rPr>
              <w:t>Controlling-Logik &amp; Ampel-Schwellenwert</w:t>
            </w:r>
          </w:p>
        </w:tc>
      </w:tr>
      <w:tr>
        <w:tc>
          <w:tcPr>
            <w:tcW w:type="dxa" w:w="3456"/>
            <w:shd w:val="clear" w:color="auto" w:fill="F8FAFC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after="0" w:before="0"/>
            </w:pPr>
            <w:r>
              <w:rPr>
                <w:rFonts w:ascii="Calibri" w:hAnsi="Calibri"/>
                <w:b/>
                <w:color w:val="182B49"/>
                <w:sz w:val="17"/>
              </w:rPr>
              <w:t>Kostenabweichung (ΔK)</w:t>
            </w:r>
          </w:p>
        </w:tc>
        <w:tc>
          <w:tcPr>
            <w:tcW w:type="dxa" w:w="5184"/>
            <w:shd w:val="clear" w:color="auto" w:fill="F8FAFC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after="0" w:before="0"/>
            </w:pPr>
            <w:r>
              <w:rPr>
                <w:rFonts w:ascii="Consolas" w:hAnsi="Consolas"/>
                <w:color w:val="2563EB"/>
                <w:sz w:val="16"/>
              </w:rPr>
              <w:t>ΔK = K_Ist - K_Soll</w:t>
              <w:br/>
              <w:t>Excel: =C_Ist - C_Soll</w:t>
            </w:r>
          </w:p>
        </w:tc>
        <w:tc>
          <w:tcPr>
            <w:tcW w:type="dxa" w:w="6408"/>
            <w:shd w:val="clear" w:color="auto" w:fill="F8FAFC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after="0" w:before="0"/>
            </w:pPr>
            <w:r>
              <w:rPr>
                <w:rFonts w:ascii="Calibri" w:hAnsi="Calibri"/>
                <w:color w:val="1E293B"/>
                <w:sz w:val="17"/>
              </w:rPr>
              <w:t>Negativ = Budgetunterschreitung (positiv/Grün).</w:t>
              <w:br/>
              <w:t>Positiv = Budgetüberschreitung (Rot ab &gt;10% oder &gt;1.000 €).</w:t>
            </w:r>
          </w:p>
        </w:tc>
      </w:tr>
      <w:tr>
        <w:tc>
          <w:tcPr>
            <w:tcW w:type="dxa" w:w="3456"/>
            <w:shd w:val="clear" w:color="auto" w:fill="FFFFFF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after="0" w:before="0"/>
            </w:pPr>
            <w:r>
              <w:rPr>
                <w:rFonts w:ascii="Calibri" w:hAnsi="Calibri"/>
                <w:b/>
                <w:color w:val="182B49"/>
                <w:sz w:val="17"/>
              </w:rPr>
              <w:t>Gesamt-Fertigstellungsgrad (F_ges)</w:t>
            </w:r>
          </w:p>
        </w:tc>
        <w:tc>
          <w:tcPr>
            <w:tcW w:type="dxa" w:w="5184"/>
            <w:shd w:val="clear" w:color="auto" w:fill="FFFFFF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after="0" w:before="0"/>
            </w:pPr>
            <w:r>
              <w:rPr>
                <w:rFonts w:ascii="Consolas" w:hAnsi="Consolas"/>
                <w:color w:val="2563EB"/>
                <w:sz w:val="16"/>
              </w:rPr>
              <w:t>F_ges = (1 / n) * Σ(F_i)</w:t>
              <w:br/>
              <w:t>Excel: =MITTELWERT(F_Range)</w:t>
            </w:r>
          </w:p>
        </w:tc>
        <w:tc>
          <w:tcPr>
            <w:tcW w:type="dxa" w:w="6408"/>
            <w:shd w:val="clear" w:color="auto" w:fill="FFFFFF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after="0" w:before="0"/>
            </w:pPr>
            <w:r>
              <w:rPr>
                <w:rFonts w:ascii="Calibri" w:hAnsi="Calibri"/>
                <w:color w:val="1E293B"/>
                <w:sz w:val="17"/>
              </w:rPr>
              <w:t>Arithmetischer Durchschnitt aller Einzelfertigstellungsgrade. Alternativ gewichtet nach Budgeteinsatz.</w:t>
            </w:r>
          </w:p>
        </w:tc>
      </w:tr>
      <w:tr>
        <w:tc>
          <w:tcPr>
            <w:tcW w:type="dxa" w:w="3456"/>
            <w:shd w:val="clear" w:color="auto" w:fill="F8FAFC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after="0" w:before="0"/>
            </w:pPr>
            <w:r>
              <w:rPr>
                <w:rFonts w:ascii="Calibri" w:hAnsi="Calibri"/>
                <w:b/>
                <w:color w:val="182B49"/>
                <w:sz w:val="17"/>
              </w:rPr>
              <w:t>Statusquote Erledigt (Q_erl)</w:t>
            </w:r>
          </w:p>
        </w:tc>
        <w:tc>
          <w:tcPr>
            <w:tcW w:type="dxa" w:w="5184"/>
            <w:shd w:val="clear" w:color="auto" w:fill="F8FAFC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after="0" w:before="0"/>
            </w:pPr>
            <w:r>
              <w:rPr>
                <w:rFonts w:ascii="Consolas" w:hAnsi="Consolas"/>
                <w:color w:val="2563EB"/>
                <w:sz w:val="16"/>
              </w:rPr>
              <w:t>Q_erl = n_erledigt / n_gesamt</w:t>
              <w:br/>
              <w:t>Excel: =ZÄHLENWENN(Status; 'Erledigt') / ANZAHL2(Nr)</w:t>
            </w:r>
          </w:p>
        </w:tc>
        <w:tc>
          <w:tcPr>
            <w:tcW w:type="dxa" w:w="6408"/>
            <w:shd w:val="clear" w:color="auto" w:fill="F8FAFC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after="0" w:before="0"/>
            </w:pPr>
            <w:r>
              <w:rPr>
                <w:rFonts w:ascii="Calibri" w:hAnsi="Calibri"/>
                <w:color w:val="1E293B"/>
                <w:sz w:val="17"/>
              </w:rPr>
              <w:t>Misst den reinen Abschlussgrad der Arbeitspakete im Verhältnis zum Gesamtumfang.</w:t>
            </w:r>
          </w:p>
        </w:tc>
      </w:tr>
    </w:tbl>
    <w:p>
      <w:r>
        <w:br w:type="page"/>
      </w:r>
    </w:p>
    <w:p>
      <w:pPr>
        <w:spacing w:before="0" w:after="80"/>
      </w:pPr>
      <w:r>
        <w:rPr>
          <w:rFonts w:ascii="Calibri" w:hAnsi="Calibri"/>
          <w:b/>
          <w:color w:val="182B49"/>
          <w:sz w:val="28"/>
        </w:rPr>
        <w:t>3. 5-Schritte-Leitfaden zur erfolgreichen Implementierung</w:t>
      </w:r>
    </w:p>
    <w:p>
      <w:pPr>
        <w:spacing w:before="60" w:after="60"/>
      </w:pPr>
      <w:r>
        <w:rPr>
          <w:rFonts w:ascii="Calibri" w:hAnsi="Calibri"/>
          <w:b/>
          <w:color w:val="182B49"/>
          <w:sz w:val="19"/>
        </w:rPr>
        <w:t xml:space="preserve">• Schritt 1: Ist-Analyse &amp; Zielschärfung: </w:t>
      </w:r>
      <w:r>
        <w:rPr>
          <w:rFonts w:ascii="Calibri" w:hAnsi="Calibri"/>
          <w:color w:val="1E293B"/>
          <w:sz w:val="19"/>
        </w:rPr>
        <w:t>Identifikation des akuten Handlungsbedarfs (z.B. Audit-Ergebnisse, Kennzahlenrückgang) und Formulierung des SMART-Ziels.</w:t>
      </w:r>
    </w:p>
    <w:p>
      <w:pPr>
        <w:spacing w:before="60" w:after="60"/>
      </w:pPr>
      <w:r>
        <w:rPr>
          <w:rFonts w:ascii="Calibri" w:hAnsi="Calibri"/>
          <w:b/>
          <w:color w:val="182B49"/>
          <w:sz w:val="19"/>
        </w:rPr>
        <w:t xml:space="preserve">• Schritt 2: Maßnahmenableitung &amp; Strukturierung: </w:t>
      </w:r>
      <w:r>
        <w:rPr>
          <w:rFonts w:ascii="Calibri" w:hAnsi="Calibri"/>
          <w:color w:val="1E293B"/>
          <w:sz w:val="19"/>
        </w:rPr>
        <w:t>Zerlegung der Gesamtaufgabe in greifbare, in sich geschlossene Arbeitspakete mit klaren Abgrenzungen.</w:t>
      </w:r>
    </w:p>
    <w:p>
      <w:pPr>
        <w:spacing w:before="60" w:after="60"/>
      </w:pPr>
      <w:r>
        <w:rPr>
          <w:rFonts w:ascii="Calibri" w:hAnsi="Calibri"/>
          <w:b/>
          <w:color w:val="182B49"/>
          <w:sz w:val="19"/>
        </w:rPr>
        <w:t xml:space="preserve">• Schritt 3: Single Point of Accountability: </w:t>
      </w:r>
      <w:r>
        <w:rPr>
          <w:rFonts w:ascii="Calibri" w:hAnsi="Calibri"/>
          <w:color w:val="1E293B"/>
          <w:sz w:val="19"/>
        </w:rPr>
        <w:t>Verbindliche Zuweisung genau eines Verantwortlichen pro Maßnahme und Festlegung harter Deadlines.</w:t>
      </w:r>
    </w:p>
    <w:p>
      <w:pPr>
        <w:spacing w:before="60" w:after="60"/>
      </w:pPr>
      <w:r>
        <w:rPr>
          <w:rFonts w:ascii="Calibri" w:hAnsi="Calibri"/>
          <w:b/>
          <w:color w:val="182B49"/>
          <w:sz w:val="19"/>
        </w:rPr>
        <w:t xml:space="preserve">• Schritt 4: Budget- &amp; Ressourcenabgleich: </w:t>
      </w:r>
      <w:r>
        <w:rPr>
          <w:rFonts w:ascii="Calibri" w:hAnsi="Calibri"/>
          <w:color w:val="1E293B"/>
          <w:sz w:val="19"/>
        </w:rPr>
        <w:t>Gegenüberstellung von erforderlichen Finanzmitteln und personellen Kapazitäten zur Vermeidung von Überlastung.</w:t>
      </w:r>
    </w:p>
    <w:p>
      <w:pPr>
        <w:spacing w:before="60" w:after="60"/>
      </w:pPr>
      <w:r>
        <w:rPr>
          <w:rFonts w:ascii="Calibri" w:hAnsi="Calibri"/>
          <w:b/>
          <w:color w:val="182B49"/>
          <w:sz w:val="19"/>
        </w:rPr>
        <w:t xml:space="preserve">• Schritt 5: Etablierung der Review-Kadenz: </w:t>
      </w:r>
      <w:r>
        <w:rPr>
          <w:rFonts w:ascii="Calibri" w:hAnsi="Calibri"/>
          <w:color w:val="1E293B"/>
          <w:sz w:val="19"/>
        </w:rPr>
        <w:t>Festlegung regelmäßiger Controlling-Zyklen (z.B. wöchentliches 15-Minuten Standup, monatliches Steering-Board-Review).</w:t>
      </w:r>
    </w:p>
    <w:p>
      <w:pPr>
        <w:spacing w:before="240" w:after="80"/>
      </w:pPr>
      <w:r>
        <w:rPr>
          <w:rFonts w:ascii="Calibri" w:hAnsi="Calibri"/>
          <w:b/>
          <w:color w:val="182B49"/>
          <w:sz w:val="24"/>
        </w:rPr>
        <w:t>4. Format-Vergleich: Wann eignet sich welches Format?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BD5E1"/>
          <w:bottom w:val="single" w:sz="4" w:space="0" w:color="CBD5E1"/>
          <w:left w:val="none"/>
          <w:right w:val="none"/>
          <w:insideH w:val="single" w:sz="4" w:space="0" w:color="CBD5E1"/>
          <w:insideV w:val="none"/>
        </w:tblBorders>
      </w:tblPr>
      <w:tblGrid>
        <w:gridCol w:w="3776"/>
        <w:gridCol w:w="3776"/>
        <w:gridCol w:w="3776"/>
        <w:gridCol w:w="3776"/>
      </w:tblGrid>
      <w:tr>
        <w:tc>
          <w:tcPr>
            <w:tcW w:type="dxa" w:w="2592"/>
            <w:shd w:val="clear" w:color="auto" w:fill="182B49"/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pPr>
              <w:spacing w:after="0" w:before="0"/>
            </w:pPr>
            <w:r>
              <w:rPr>
                <w:rFonts w:ascii="Calibri" w:hAnsi="Calibri"/>
                <w:b/>
                <w:color w:val="FFFFFF"/>
                <w:sz w:val="17"/>
              </w:rPr>
              <w:t>Format / Tool</w:t>
            </w:r>
          </w:p>
        </w:tc>
        <w:tc>
          <w:tcPr>
            <w:tcW w:type="dxa" w:w="4032"/>
            <w:shd w:val="clear" w:color="auto" w:fill="182B49"/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pPr>
              <w:spacing w:after="0" w:before="0"/>
            </w:pPr>
            <w:r>
              <w:rPr>
                <w:rFonts w:ascii="Calibri" w:hAnsi="Calibri"/>
                <w:b/>
                <w:color w:val="FFFFFF"/>
                <w:sz w:val="17"/>
              </w:rPr>
              <w:t>Stärken &amp; Vorteile</w:t>
            </w:r>
          </w:p>
        </w:tc>
        <w:tc>
          <w:tcPr>
            <w:tcW w:type="dxa" w:w="4032"/>
            <w:shd w:val="clear" w:color="auto" w:fill="182B49"/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pPr>
              <w:spacing w:after="0" w:before="0"/>
            </w:pPr>
            <w:r>
              <w:rPr>
                <w:rFonts w:ascii="Calibri" w:hAnsi="Calibri"/>
                <w:b/>
                <w:color w:val="FFFFFF"/>
                <w:sz w:val="17"/>
              </w:rPr>
              <w:t>Grenzen &amp; Nachteile</w:t>
            </w:r>
          </w:p>
        </w:tc>
        <w:tc>
          <w:tcPr>
            <w:tcW w:type="dxa" w:w="4392"/>
            <w:shd w:val="clear" w:color="auto" w:fill="182B49"/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pPr>
              <w:spacing w:after="0" w:before="0"/>
            </w:pPr>
            <w:r>
              <w:rPr>
                <w:rFonts w:ascii="Calibri" w:hAnsi="Calibri"/>
                <w:b/>
                <w:color w:val="FFFFFF"/>
                <w:sz w:val="17"/>
              </w:rPr>
              <w:t>Empfohlener Einsatzbereich</w:t>
            </w:r>
          </w:p>
        </w:tc>
      </w:tr>
      <w:tr>
        <w:tc>
          <w:tcPr>
            <w:tcW w:type="dxa" w:w="2592"/>
            <w:shd w:val="clear" w:color="auto" w:fill="F8FAFC"/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pPr>
              <w:spacing w:after="0" w:before="0"/>
            </w:pPr>
            <w:r>
              <w:rPr>
                <w:rFonts w:ascii="Calibri" w:hAnsi="Calibri"/>
                <w:b/>
                <w:color w:val="182B49"/>
                <w:sz w:val="17"/>
              </w:rPr>
              <w:t>Excel (.xlsx)</w:t>
            </w:r>
          </w:p>
        </w:tc>
        <w:tc>
          <w:tcPr>
            <w:tcW w:type="dxa" w:w="4032"/>
            <w:shd w:val="clear" w:color="auto" w:fill="F8FAFC"/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pPr>
              <w:spacing w:after="0" w:before="0"/>
            </w:pPr>
            <w:r>
              <w:rPr>
                <w:rFonts w:ascii="Calibri" w:hAnsi="Calibri"/>
                <w:color w:val="1E293B"/>
                <w:sz w:val="17"/>
              </w:rPr>
              <w:t>Automatisierte Formelberechnung, flexible Filterung, Pivot &amp; Dashboards.</w:t>
            </w:r>
          </w:p>
        </w:tc>
        <w:tc>
          <w:tcPr>
            <w:tcW w:type="dxa" w:w="4032"/>
            <w:shd w:val="clear" w:color="auto" w:fill="F8FAFC"/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pPr>
              <w:spacing w:after="0" w:before="0"/>
            </w:pPr>
            <w:r>
              <w:rPr>
                <w:rFonts w:ascii="Calibri" w:hAnsi="Calibri"/>
                <w:color w:val="1E293B"/>
                <w:sz w:val="17"/>
              </w:rPr>
              <w:t>Keine synchrone Textdokumentation, unübersichtlich bei langen Texten.</w:t>
            </w:r>
          </w:p>
        </w:tc>
        <w:tc>
          <w:tcPr>
            <w:tcW w:type="dxa" w:w="4392"/>
            <w:shd w:val="clear" w:color="auto" w:fill="F8FAFC"/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pPr>
              <w:spacing w:after="0" w:before="0"/>
            </w:pPr>
            <w:r>
              <w:rPr>
                <w:rFonts w:ascii="Calibri" w:hAnsi="Calibri"/>
                <w:color w:val="1E293B"/>
                <w:sz w:val="17"/>
              </w:rPr>
              <w:t>Komplexe Projekte mit hohem Zahlen-/Budget-Fokus &amp; Controlling.</w:t>
            </w:r>
          </w:p>
        </w:tc>
      </w:tr>
      <w:tr>
        <w:tc>
          <w:tcPr>
            <w:tcW w:type="dxa" w:w="2592"/>
            <w:shd w:val="clear" w:color="auto" w:fill="FFFFFF"/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pPr>
              <w:spacing w:after="0" w:before="0"/>
            </w:pPr>
            <w:r>
              <w:rPr>
                <w:rFonts w:ascii="Calibri" w:hAnsi="Calibri"/>
                <w:b/>
                <w:color w:val="182B49"/>
                <w:sz w:val="17"/>
              </w:rPr>
              <w:t>Word (.docx)</w:t>
            </w:r>
          </w:p>
        </w:tc>
        <w:tc>
          <w:tcPr>
            <w:tcW w:type="dxa" w:w="4032"/>
            <w:shd w:val="clear" w:color="auto" w:fill="FFFFFF"/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pPr>
              <w:spacing w:after="0" w:before="0"/>
            </w:pPr>
            <w:r>
              <w:rPr>
                <w:rFonts w:ascii="Calibri" w:hAnsi="Calibri"/>
                <w:color w:val="1E293B"/>
                <w:sz w:val="17"/>
              </w:rPr>
              <w:t>Hervorragende Lesbarkeit, formale Berichtsstruktur, Governance-Präsentation.</w:t>
            </w:r>
          </w:p>
        </w:tc>
        <w:tc>
          <w:tcPr>
            <w:tcW w:type="dxa" w:w="4032"/>
            <w:shd w:val="clear" w:color="auto" w:fill="FFFFFF"/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pPr>
              <w:spacing w:after="0" w:before="0"/>
            </w:pPr>
            <w:r>
              <w:rPr>
                <w:rFonts w:ascii="Calibri" w:hAnsi="Calibri"/>
                <w:color w:val="1E293B"/>
                <w:sz w:val="17"/>
              </w:rPr>
              <w:t>Manuelle Formelaktualisierung, weniger dynamische Filterung.</w:t>
            </w:r>
          </w:p>
        </w:tc>
        <w:tc>
          <w:tcPr>
            <w:tcW w:type="dxa" w:w="4392"/>
            <w:shd w:val="clear" w:color="auto" w:fill="FFFFFF"/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pPr>
              <w:spacing w:after="0" w:before="0"/>
            </w:pPr>
            <w:r>
              <w:rPr>
                <w:rFonts w:ascii="Calibri" w:hAnsi="Calibri"/>
                <w:color w:val="1E293B"/>
                <w:sz w:val="17"/>
              </w:rPr>
              <w:t>Management-Vorlage, Audit-Nachweise, formale Beschlussvorlagen.</w:t>
            </w:r>
          </w:p>
        </w:tc>
      </w:tr>
      <w:tr>
        <w:tc>
          <w:tcPr>
            <w:tcW w:type="dxa" w:w="2592"/>
            <w:shd w:val="clear" w:color="auto" w:fill="F8FAFC"/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pPr>
              <w:spacing w:after="0" w:before="0"/>
            </w:pPr>
            <w:r>
              <w:rPr>
                <w:rFonts w:ascii="Calibri" w:hAnsi="Calibri"/>
                <w:b/>
                <w:color w:val="182B49"/>
                <w:sz w:val="17"/>
              </w:rPr>
              <w:t>Cloud PM-Tools</w:t>
              <w:br/>
              <w:t>(Asana, Jira, Monday)</w:t>
            </w:r>
          </w:p>
        </w:tc>
        <w:tc>
          <w:tcPr>
            <w:tcW w:type="dxa" w:w="4032"/>
            <w:shd w:val="clear" w:color="auto" w:fill="F8FAFC"/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pPr>
              <w:spacing w:after="0" w:before="0"/>
            </w:pPr>
            <w:r>
              <w:rPr>
                <w:rFonts w:ascii="Calibri" w:hAnsi="Calibri"/>
                <w:color w:val="1E293B"/>
                <w:sz w:val="17"/>
              </w:rPr>
              <w:t>Echtzeit-Kollaboration, automatische Workflows, Kalender-Synchronisation.</w:t>
            </w:r>
          </w:p>
        </w:tc>
        <w:tc>
          <w:tcPr>
            <w:tcW w:type="dxa" w:w="4032"/>
            <w:shd w:val="clear" w:color="auto" w:fill="F8FAFC"/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pPr>
              <w:spacing w:after="0" w:before="0"/>
            </w:pPr>
            <w:r>
              <w:rPr>
                <w:rFonts w:ascii="Calibri" w:hAnsi="Calibri"/>
                <w:color w:val="1E293B"/>
                <w:sz w:val="17"/>
              </w:rPr>
              <w:t>Lizenzkosten, Schulungsaufwand, oft zu komplex für schlanke Vorhaben.</w:t>
            </w:r>
          </w:p>
        </w:tc>
        <w:tc>
          <w:tcPr>
            <w:tcW w:type="dxa" w:w="4392"/>
            <w:shd w:val="clear" w:color="auto" w:fill="F8FAFC"/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pPr>
              <w:spacing w:after="0" w:before="0"/>
            </w:pPr>
            <w:r>
              <w:rPr>
                <w:rFonts w:ascii="Calibri" w:hAnsi="Calibri"/>
                <w:color w:val="1E293B"/>
                <w:sz w:val="17"/>
              </w:rPr>
              <w:t>Agile Software-Teams, unternehmensweite Mehr-Projekt-Steuerung.</w:t>
            </w:r>
          </w:p>
        </w:tc>
      </w:tr>
    </w:tbl>
    <w:p>
      <w:pPr>
        <w:spacing w:before="240" w:after="80"/>
      </w:pPr>
      <w:r>
        <w:rPr>
          <w:rFonts w:ascii="Calibri" w:hAnsi="Calibri"/>
          <w:b/>
          <w:color w:val="182B49"/>
          <w:sz w:val="24"/>
        </w:rPr>
        <w:t>5. Best Practices &amp; Typische Fallstricke (Governance Rules)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BD5E1"/>
          <w:bottom w:val="single" w:sz="4" w:space="0" w:color="CBD5E1"/>
          <w:left w:val="none"/>
          <w:right w:val="none"/>
          <w:insideH w:val="single" w:sz="4" w:space="0" w:color="CBD5E1"/>
          <w:insideV w:val="none"/>
        </w:tblBorders>
      </w:tblPr>
      <w:tblGrid>
        <w:gridCol w:w="7553"/>
        <w:gridCol w:w="7553"/>
      </w:tblGrid>
      <w:tr>
        <w:tc>
          <w:tcPr>
            <w:tcW w:type="dxa" w:w="7488"/>
            <w:shd w:val="clear" w:color="auto" w:fill="182B49"/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pPr>
              <w:spacing w:after="0" w:before="0"/>
            </w:pPr>
            <w:r>
              <w:rPr>
                <w:rFonts w:ascii="Calibri" w:hAnsi="Calibri"/>
                <w:b/>
                <w:color w:val="FFFFFF"/>
                <w:sz w:val="17"/>
              </w:rPr>
              <w:t>Typischer Fallstrick (Anti-Pattern)</w:t>
            </w:r>
          </w:p>
        </w:tc>
        <w:tc>
          <w:tcPr>
            <w:tcW w:type="dxa" w:w="7560"/>
            <w:shd w:val="clear" w:color="auto" w:fill="182B49"/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pPr>
              <w:spacing w:after="0" w:before="0"/>
            </w:pPr>
            <w:r>
              <w:rPr>
                <w:rFonts w:ascii="Calibri" w:hAnsi="Calibri"/>
                <w:b/>
                <w:color w:val="FFFFFF"/>
                <w:sz w:val="17"/>
              </w:rPr>
              <w:t>Best-Practice-Lösung (Golden Rule)</w:t>
            </w:r>
          </w:p>
        </w:tc>
      </w:tr>
      <w:tr>
        <w:tc>
          <w:tcPr>
            <w:tcW w:type="dxa" w:w="7488"/>
            <w:shd w:val="clear" w:color="auto" w:fill="F8FAFC"/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pPr>
              <w:spacing w:after="0" w:before="0"/>
            </w:pPr>
            <w:r>
              <w:rPr>
                <w:rFonts w:ascii="Calibri" w:hAnsi="Calibri"/>
                <w:b/>
                <w:color w:val="B91C1C"/>
                <w:sz w:val="17"/>
              </w:rPr>
              <w:t>WIP-Überlastung: Einzelpersonen werden 10+ Hochprio-Aufgaben gleichzeitig zugewiesen.</w:t>
            </w:r>
          </w:p>
        </w:tc>
        <w:tc>
          <w:tcPr>
            <w:tcW w:type="dxa" w:w="7560"/>
            <w:shd w:val="clear" w:color="auto" w:fill="F8FAFC"/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pPr>
              <w:spacing w:after="0" w:before="0"/>
            </w:pPr>
            <w:r>
              <w:rPr>
                <w:rFonts w:ascii="Calibri" w:hAnsi="Calibri"/>
                <w:color w:val="1E293B"/>
                <w:sz w:val="17"/>
              </w:rPr>
              <w:t>WIP-Limits setzen: Maximal 3 parallele Maßnahmen mit Priorität 'Hoch' pro Verantwortlichem.</w:t>
            </w:r>
          </w:p>
        </w:tc>
      </w:tr>
      <w:tr>
        <w:tc>
          <w:tcPr>
            <w:tcW w:type="dxa" w:w="7488"/>
            <w:shd w:val="clear" w:color="auto" w:fill="FFFFFF"/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pPr>
              <w:spacing w:after="0" w:before="0"/>
            </w:pPr>
            <w:r>
              <w:rPr>
                <w:rFonts w:ascii="Calibri" w:hAnsi="Calibri"/>
                <w:b/>
                <w:color w:val="B91C1C"/>
                <w:sz w:val="17"/>
              </w:rPr>
              <w:t>Vage Statusberichte: Aufgaben verharren über Monate auf 'In Bearbeitung' ohne messbaren Fortschritt.</w:t>
            </w:r>
          </w:p>
        </w:tc>
        <w:tc>
          <w:tcPr>
            <w:tcW w:type="dxa" w:w="7560"/>
            <w:shd w:val="clear" w:color="auto" w:fill="FFFFFF"/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pPr>
              <w:spacing w:after="0" w:before="0"/>
            </w:pPr>
            <w:r>
              <w:rPr>
                <w:rFonts w:ascii="Calibri" w:hAnsi="Calibri"/>
                <w:color w:val="1E293B"/>
                <w:sz w:val="17"/>
              </w:rPr>
              <w:t>Messbare Meilensteine definieren: Fertigstellungsgrad nur anhand konkreter Teillieferungen pflegen.</w:t>
            </w:r>
          </w:p>
        </w:tc>
      </w:tr>
      <w:tr>
        <w:tc>
          <w:tcPr>
            <w:tcW w:type="dxa" w:w="7488"/>
            <w:shd w:val="clear" w:color="auto" w:fill="F8FAFC"/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pPr>
              <w:spacing w:after="0" w:before="0"/>
            </w:pPr>
            <w:r>
              <w:rPr>
                <w:rFonts w:ascii="Calibri" w:hAnsi="Calibri"/>
                <w:b/>
                <w:color w:val="B91C1C"/>
                <w:sz w:val="17"/>
              </w:rPr>
              <w:t>Projektplan vs. Maßnahmenplan verwechselt: Überfrachtung mit Gantt-Charts und Netzplänen.</w:t>
            </w:r>
          </w:p>
        </w:tc>
        <w:tc>
          <w:tcPr>
            <w:tcW w:type="dxa" w:w="7560"/>
            <w:shd w:val="clear" w:color="auto" w:fill="F8FAFC"/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pPr>
              <w:spacing w:after="0" w:before="0"/>
            </w:pPr>
            <w:r>
              <w:rPr>
                <w:rFonts w:ascii="Calibri" w:hAnsi="Calibri"/>
                <w:color w:val="1E293B"/>
                <w:sz w:val="17"/>
              </w:rPr>
              <w:t>Fokus auf operative Action Items: Ein Maßnahmenplan steuert schlanke, umsetzungsgetriebene Pakete.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6834" w:h="11909" w:orient="landscape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787878"/>
        <w:sz w:val="17"/>
      </w:rPr>
      <w:t>Vertraulich – Zur internen Projekt- und Maßnahmensteuerung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787878"/>
        <w:sz w:val="17"/>
      </w:rPr>
      <w:t>Maßnahmenplan &amp; Controlling-Dashboard | Vorlage &amp; Praxis-Guide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